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23C56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  <w:lang w:val="en-US" w:eastAsia="zh-CN"/>
        </w:rPr>
      </w:pPr>
      <w:bookmarkStart w:id="0" w:name="_GoBack"/>
      <w:r>
        <w:rPr>
          <w:rFonts w:hint="eastAsia"/>
          <w:color w:val="000000"/>
          <w:lang w:val="en-US" w:eastAsia="zh-CN"/>
        </w:rPr>
        <w:t>朔州市鑫瑞源煤炭销售有限公司</w:t>
      </w:r>
    </w:p>
    <w:p w14:paraId="48EAA3F8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</w:rPr>
      </w:pPr>
      <w:r>
        <w:rPr>
          <w:rFonts w:hint="eastAsia"/>
          <w:color w:val="000000"/>
        </w:rPr>
        <w:t>未密闭易产生扬尘物料的罚款幅度裁定</w:t>
      </w:r>
    </w:p>
    <w:bookmarkEnd w:id="0"/>
    <w:p w14:paraId="2AA792AA">
      <w:pPr>
        <w:spacing w:line="42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</w:pPr>
    </w:p>
    <w:tbl>
      <w:tblPr>
        <w:tblStyle w:val="8"/>
        <w:tblW w:w="87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36"/>
        <w:gridCol w:w="1788"/>
        <w:gridCol w:w="673"/>
        <w:gridCol w:w="2506"/>
        <w:gridCol w:w="1149"/>
        <w:gridCol w:w="873"/>
      </w:tblGrid>
      <w:tr w14:paraId="75B22F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tblHeader/>
        </w:trPr>
        <w:tc>
          <w:tcPr>
            <w:tcW w:w="468" w:type="dxa"/>
            <w:vMerge w:val="restart"/>
            <w:noWrap w:val="0"/>
            <w:vAlign w:val="center"/>
          </w:tcPr>
          <w:p w14:paraId="47316BBB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序</w:t>
            </w:r>
          </w:p>
          <w:p w14:paraId="3C6CA663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号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6536A12D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裁量要素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4852F5FD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判定标准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 w14:paraId="218A974B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  <w:t>决定</w:t>
            </w:r>
          </w:p>
        </w:tc>
      </w:tr>
      <w:tr w14:paraId="73596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4" w:hRule="exact"/>
          <w:tblHeader/>
        </w:trPr>
        <w:tc>
          <w:tcPr>
            <w:tcW w:w="468" w:type="dxa"/>
            <w:vMerge w:val="continue"/>
            <w:tcBorders>
              <w:top w:val="nil"/>
            </w:tcBorders>
            <w:noWrap w:val="0"/>
            <w:vAlign w:val="center"/>
          </w:tcPr>
          <w:p w14:paraId="3DC4F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408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0"/>
                <w:sz w:val="21"/>
                <w:szCs w:val="21"/>
                <w:lang w:val="zh-CN" w:eastAsia="en-US" w:bidi="zh-CN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0EFE3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  <w:t>要素</w:t>
            </w:r>
          </w:p>
        </w:tc>
        <w:tc>
          <w:tcPr>
            <w:tcW w:w="1788" w:type="dxa"/>
            <w:noWrap w:val="0"/>
            <w:vAlign w:val="center"/>
          </w:tcPr>
          <w:p w14:paraId="2F8D057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具体条件</w:t>
            </w:r>
          </w:p>
        </w:tc>
        <w:tc>
          <w:tcPr>
            <w:tcW w:w="673" w:type="dxa"/>
            <w:noWrap w:val="0"/>
            <w:vAlign w:val="center"/>
          </w:tcPr>
          <w:p w14:paraId="7062D73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构成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比例</w:t>
            </w:r>
          </w:p>
        </w:tc>
        <w:tc>
          <w:tcPr>
            <w:tcW w:w="2506" w:type="dxa"/>
            <w:noWrap w:val="0"/>
            <w:vAlign w:val="center"/>
          </w:tcPr>
          <w:p w14:paraId="00FF443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程度</w:t>
            </w:r>
          </w:p>
        </w:tc>
        <w:tc>
          <w:tcPr>
            <w:tcW w:w="1149" w:type="dxa"/>
            <w:noWrap w:val="0"/>
            <w:vAlign w:val="center"/>
          </w:tcPr>
          <w:p w14:paraId="5A3B661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百分值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2"/>
                <w:lang w:val="en-US" w:eastAsia="en-US" w:bidi="zh-CN"/>
              </w:rPr>
              <w:t>（X）</w:t>
            </w:r>
          </w:p>
        </w:tc>
        <w:tc>
          <w:tcPr>
            <w:tcW w:w="873" w:type="dxa"/>
            <w:vMerge w:val="continue"/>
            <w:noWrap w:val="0"/>
            <w:vAlign w:val="center"/>
          </w:tcPr>
          <w:p w14:paraId="68D5AC6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</w:tr>
      <w:tr w14:paraId="7DE16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9" w:hRule="exact"/>
        </w:trPr>
        <w:tc>
          <w:tcPr>
            <w:tcW w:w="468" w:type="dxa"/>
            <w:vMerge w:val="restart"/>
            <w:noWrap w:val="0"/>
            <w:vAlign w:val="center"/>
          </w:tcPr>
          <w:p w14:paraId="1C53CEC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1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 w14:paraId="7259471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  <w:t>违法事实情节</w:t>
            </w:r>
          </w:p>
        </w:tc>
        <w:tc>
          <w:tcPr>
            <w:tcW w:w="1788" w:type="dxa"/>
            <w:noWrap w:val="0"/>
            <w:vAlign w:val="center"/>
          </w:tcPr>
          <w:p w14:paraId="41734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煤炭类包含精煤、原煤、煤泥</w:t>
            </w:r>
          </w:p>
        </w:tc>
        <w:tc>
          <w:tcPr>
            <w:tcW w:w="673" w:type="dxa"/>
            <w:noWrap w:val="0"/>
            <w:vAlign w:val="center"/>
          </w:tcPr>
          <w:p w14:paraId="47072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702FE51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>煤炭、煤矸石、煤渣、煤灰</w:t>
            </w:r>
          </w:p>
        </w:tc>
        <w:tc>
          <w:tcPr>
            <w:tcW w:w="1149" w:type="dxa"/>
            <w:noWrap w:val="0"/>
            <w:vAlign w:val="center"/>
          </w:tcPr>
          <w:p w14:paraId="6CAD8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27BB6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13%</w:t>
            </w:r>
          </w:p>
        </w:tc>
      </w:tr>
      <w:tr w14:paraId="40C850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</w:trPr>
        <w:tc>
          <w:tcPr>
            <w:tcW w:w="468" w:type="dxa"/>
            <w:vMerge w:val="continue"/>
            <w:noWrap w:val="0"/>
            <w:vAlign w:val="center"/>
          </w:tcPr>
          <w:p w14:paraId="613F79EB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7BF68E3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388DC0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位于北周庄镇工业园区</w:t>
            </w:r>
          </w:p>
        </w:tc>
        <w:tc>
          <w:tcPr>
            <w:tcW w:w="673" w:type="dxa"/>
            <w:noWrap w:val="0"/>
            <w:vAlign w:val="center"/>
          </w:tcPr>
          <w:p w14:paraId="791A3E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</w:t>
            </w:r>
          </w:p>
        </w:tc>
        <w:tc>
          <w:tcPr>
            <w:tcW w:w="2506" w:type="dxa"/>
            <w:noWrap w:val="0"/>
            <w:vAlign w:val="center"/>
          </w:tcPr>
          <w:p w14:paraId="1D83C3C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工业区和其他地区</w:t>
            </w:r>
          </w:p>
        </w:tc>
        <w:tc>
          <w:tcPr>
            <w:tcW w:w="1149" w:type="dxa"/>
            <w:noWrap w:val="0"/>
            <w:vAlign w:val="center"/>
          </w:tcPr>
          <w:p w14:paraId="081FA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1%</w:t>
            </w:r>
            <w:r>
              <w:rPr>
                <w:rFonts w:hint="eastAsia" w:ascii="仿宋" w:hAnsi="仿宋" w:eastAsia="仿宋" w:cs="仿宋"/>
                <w:color w:val="000000"/>
                <w:lang w:eastAsia="en-US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X≤5%</w:t>
            </w:r>
          </w:p>
        </w:tc>
        <w:tc>
          <w:tcPr>
            <w:tcW w:w="873" w:type="dxa"/>
            <w:noWrap w:val="0"/>
            <w:vAlign w:val="center"/>
          </w:tcPr>
          <w:p w14:paraId="32E01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273DE2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26E9AF39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0EB73FF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1C96000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物料储量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zh-CN" w:bidi="ar-SA"/>
              </w:rPr>
              <w:t>4000吨</w:t>
            </w:r>
          </w:p>
        </w:tc>
        <w:tc>
          <w:tcPr>
            <w:tcW w:w="673" w:type="dxa"/>
            <w:noWrap w:val="0"/>
            <w:vAlign w:val="center"/>
          </w:tcPr>
          <w:p w14:paraId="23A92B4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23D1383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200吨以上的</w:t>
            </w:r>
          </w:p>
        </w:tc>
        <w:tc>
          <w:tcPr>
            <w:tcW w:w="1149" w:type="dxa"/>
            <w:noWrap w:val="0"/>
            <w:vAlign w:val="center"/>
          </w:tcPr>
          <w:p w14:paraId="126F9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06F81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3D511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exact"/>
        </w:trPr>
        <w:tc>
          <w:tcPr>
            <w:tcW w:w="468" w:type="dxa"/>
            <w:vMerge w:val="continue"/>
            <w:noWrap w:val="0"/>
            <w:vAlign w:val="center"/>
          </w:tcPr>
          <w:p w14:paraId="6CA21C16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40EF5366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46BF8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违法行为持续时间5天</w:t>
            </w:r>
          </w:p>
        </w:tc>
        <w:tc>
          <w:tcPr>
            <w:tcW w:w="673" w:type="dxa"/>
            <w:noWrap w:val="0"/>
            <w:vAlign w:val="center"/>
          </w:tcPr>
          <w:p w14:paraId="7EC0A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noWrap w:val="0"/>
            <w:vAlign w:val="center"/>
          </w:tcPr>
          <w:p w14:paraId="0B31E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4"/>
                <w:lang w:val="en-US" w:eastAsia="zh-CN"/>
              </w:rPr>
              <w:t>不足1个月</w:t>
            </w:r>
          </w:p>
        </w:tc>
        <w:tc>
          <w:tcPr>
            <w:tcW w:w="1149" w:type="dxa"/>
            <w:noWrap w:val="0"/>
            <w:vAlign w:val="center"/>
          </w:tcPr>
          <w:p w14:paraId="61407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  <w:t>3%≤X≤5%</w:t>
            </w:r>
          </w:p>
        </w:tc>
        <w:tc>
          <w:tcPr>
            <w:tcW w:w="873" w:type="dxa"/>
            <w:noWrap w:val="0"/>
            <w:vAlign w:val="center"/>
          </w:tcPr>
          <w:p w14:paraId="53BBC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3%</w:t>
            </w:r>
          </w:p>
        </w:tc>
      </w:tr>
      <w:tr w14:paraId="0D7A2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2ACEDFCF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4C45F55C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78874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两年内违反次数</w:t>
            </w:r>
          </w:p>
        </w:tc>
        <w:tc>
          <w:tcPr>
            <w:tcW w:w="673" w:type="dxa"/>
            <w:noWrap w:val="0"/>
            <w:vAlign w:val="center"/>
          </w:tcPr>
          <w:p w14:paraId="50512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</w:p>
        </w:tc>
        <w:tc>
          <w:tcPr>
            <w:tcW w:w="2506" w:type="dxa"/>
            <w:noWrap w:val="0"/>
            <w:vAlign w:val="center"/>
          </w:tcPr>
          <w:p w14:paraId="5BE36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0次</w:t>
            </w:r>
          </w:p>
        </w:tc>
        <w:tc>
          <w:tcPr>
            <w:tcW w:w="1149" w:type="dxa"/>
            <w:noWrap w:val="0"/>
            <w:vAlign w:val="center"/>
          </w:tcPr>
          <w:p w14:paraId="79EE4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  <w:tc>
          <w:tcPr>
            <w:tcW w:w="873" w:type="dxa"/>
            <w:noWrap w:val="0"/>
            <w:vAlign w:val="center"/>
          </w:tcPr>
          <w:p w14:paraId="044C6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</w:tr>
      <w:tr w14:paraId="65FA7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A77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2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A5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整改情况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86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正在计划清理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9A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3F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已停止违法，未进行改正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18DCD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3%≤X≤9%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0D0DE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4%</w:t>
            </w:r>
          </w:p>
        </w:tc>
      </w:tr>
      <w:tr w14:paraId="621130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A0A0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lang w:val="en-US" w:eastAsia="en-US"/>
              </w:rPr>
              <w:t>3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FB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社会影响和生态破坏程度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36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未收集到相关证据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D2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DD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0FF82A7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4" w:line="400" w:lineRule="exact"/>
              <w:ind w:right="75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E5D56B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7CA100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5C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4</w:t>
            </w:r>
          </w:p>
        </w:tc>
        <w:tc>
          <w:tcPr>
            <w:tcW w:w="13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DC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经济承受度</w:t>
            </w:r>
          </w:p>
        </w:tc>
        <w:tc>
          <w:tcPr>
            <w:tcW w:w="1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CE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从业人员25人</w:t>
            </w:r>
          </w:p>
        </w:tc>
        <w:tc>
          <w:tcPr>
            <w:tcW w:w="6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1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69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小型企事业单位</w:t>
            </w:r>
          </w:p>
          <w:p w14:paraId="0BFDC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（涉公益单位）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43E60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position w:val="1"/>
                <w:sz w:val="21"/>
                <w:lang w:eastAsia="en-US" w:bidi="zh-CN"/>
              </w:rPr>
              <w:t>－3%≤X＜0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A8DF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-3%</w:t>
            </w:r>
          </w:p>
        </w:tc>
      </w:tr>
      <w:tr w14:paraId="3B9F9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2" w:hRule="exact"/>
        </w:trPr>
        <w:tc>
          <w:tcPr>
            <w:tcW w:w="4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DE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5</w:t>
            </w:r>
          </w:p>
        </w:tc>
        <w:tc>
          <w:tcPr>
            <w:tcW w:w="13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DC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地区差异</w:t>
            </w:r>
          </w:p>
        </w:tc>
        <w:tc>
          <w:tcPr>
            <w:tcW w:w="1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11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zh-CN" w:eastAsia="en-US" w:bidi="zh-CN"/>
              </w:rPr>
              <w:t>经济社会发展程度及环境容量的大小</w:t>
            </w:r>
          </w:p>
        </w:tc>
        <w:tc>
          <w:tcPr>
            <w:tcW w:w="6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38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D5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各地级市可以结合实际自行确定地区差异，裁量比例数值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（加减５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）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EC43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－5%≤X≤5%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C270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0E715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exact"/>
        </w:trPr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E2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  <w:t>合  计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19763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30%</w:t>
            </w:r>
          </w:p>
        </w:tc>
      </w:tr>
    </w:tbl>
    <w:p w14:paraId="60354F46">
      <w:pPr>
        <w:pStyle w:val="7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</w:pPr>
    </w:p>
    <w:p w14:paraId="2A93A99B">
      <w:pPr>
        <w:pStyle w:val="7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  <w:t>计算方法</w:t>
      </w: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  <w:t>：</w:t>
      </w:r>
    </w:p>
    <w:p w14:paraId="0B427EC2">
      <w:pPr>
        <w:pStyle w:val="7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本裁量表格计算方法：</w:t>
      </w:r>
    </w:p>
    <w:p w14:paraId="68D5654D">
      <w:pPr>
        <w:pStyle w:val="7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罚款金额=百分值之和</w:t>
      </w:r>
      <w:r>
        <w:rPr>
          <w:rFonts w:hint="eastAsia" w:ascii="仿宋" w:hAnsi="仿宋" w:eastAsia="仿宋" w:cs="仿宋"/>
          <w:color w:val="000000"/>
          <w:spacing w:val="-3"/>
          <w:sz w:val="21"/>
          <w:szCs w:val="21"/>
        </w:rPr>
        <w:t>×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最高法定罚款上限 10万元，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>罚款金额按“千”取整，不得低于法定限额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。</w:t>
      </w:r>
    </w:p>
    <w:p w14:paraId="71883E5B">
      <w:pPr>
        <w:pStyle w:val="4"/>
        <w:ind w:left="0" w:leftChars="0" w:firstLine="0" w:firstLineChars="0"/>
        <w:rPr>
          <w:rFonts w:hint="eastAsia"/>
          <w:lang w:eastAsia="zh-CN"/>
        </w:rPr>
      </w:pPr>
    </w:p>
    <w:p w14:paraId="6088C2AD"/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zZjRiYmU0ODZjNDZhYWRkMmQ5MTNhYjEyZmFhOWQifQ=="/>
  </w:docVars>
  <w:rsids>
    <w:rsidRoot w:val="1DD01A6D"/>
    <w:rsid w:val="1DD0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jc w:val="left"/>
      <w:outlineLvl w:val="2"/>
    </w:pPr>
    <w:rPr>
      <w:rFonts w:eastAsia="微软雅黑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before="100" w:beforeAutospacing="1" w:after="0"/>
      <w:ind w:firstLine="420" w:firstLineChars="200"/>
    </w:pPr>
    <w:rPr>
      <w:rFonts w:cs="Calibri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table" w:customStyle="1" w:styleId="8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2025-03-11T07:09:00Z</dcterms:created>
  <dc:creator>123456</dc:creator>
  <cp:lastModifiedBy>123456</cp:lastModifiedBy>
  <dcterms:modified xsi:type="dcterms:W3CDTF">2025-03-11T07:10:03Z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9E9F38E345D64D479E28D1194B043753_11</vt:lpwstr>
  </property>
</Properties>
</file>