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FA611E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50" w:line="400" w:lineRule="exact"/>
        <w:jc w:val="center"/>
        <w:textAlignment w:val="auto"/>
        <w:rPr>
          <w:rFonts w:hint="eastAsia"/>
          <w:color w:val="000000"/>
          <w:lang w:val="en-US" w:eastAsia="zh-CN"/>
        </w:rPr>
      </w:pPr>
      <w:bookmarkStart w:id="0" w:name="_GoBack"/>
      <w:r>
        <w:rPr>
          <w:rFonts w:hint="eastAsia"/>
          <w:color w:val="000000"/>
          <w:lang w:val="en-US" w:eastAsia="zh-CN"/>
        </w:rPr>
        <w:t>山阴县荣盛达机动车检测有限公司</w:t>
      </w:r>
    </w:p>
    <w:p w14:paraId="148189C0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50" w:line="400" w:lineRule="exact"/>
        <w:jc w:val="center"/>
        <w:textAlignment w:val="auto"/>
        <w:rPr>
          <w:rFonts w:hint="eastAsia" w:ascii="仿宋" w:hAnsi="仿宋" w:eastAsia="仿宋" w:cs="仿宋"/>
          <w:b/>
          <w:bCs/>
          <w:color w:val="auto"/>
          <w:sz w:val="28"/>
          <w:szCs w:val="28"/>
          <w:u w:val="single"/>
          <w:lang w:val="en-US" w:eastAsia="zh-CN"/>
        </w:rPr>
      </w:pPr>
      <w:r>
        <w:rPr>
          <w:rFonts w:hint="eastAsia"/>
          <w:color w:val="000000"/>
          <w:lang w:val="en-US" w:eastAsia="zh-CN"/>
        </w:rPr>
        <w:t>伪造排放检验结果或者出具虚假排放检验报告的罚款幅度裁定</w:t>
      </w:r>
    </w:p>
    <w:bookmarkEnd w:id="0"/>
    <w:tbl>
      <w:tblPr>
        <w:tblStyle w:val="6"/>
        <w:tblW w:w="8793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8"/>
        <w:gridCol w:w="1360"/>
        <w:gridCol w:w="2625"/>
        <w:gridCol w:w="630"/>
        <w:gridCol w:w="1688"/>
        <w:gridCol w:w="1149"/>
        <w:gridCol w:w="873"/>
      </w:tblGrid>
      <w:tr w14:paraId="636288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4" w:hRule="exact"/>
          <w:tblHeader/>
        </w:trPr>
        <w:tc>
          <w:tcPr>
            <w:tcW w:w="468" w:type="dxa"/>
            <w:vMerge w:val="restart"/>
            <w:noWrap w:val="0"/>
            <w:vAlign w:val="center"/>
          </w:tcPr>
          <w:p w14:paraId="566B9CBD">
            <w:pPr>
              <w:pStyle w:val="5"/>
              <w:keepNext w:val="0"/>
              <w:keepLines w:val="0"/>
              <w:pageBreakBefore w:val="0"/>
              <w:widowControl w:val="0"/>
              <w:tabs>
                <w:tab w:val="left" w:pos="35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eastAsia="en-US"/>
              </w:rPr>
              <w:t>序</w:t>
            </w:r>
          </w:p>
          <w:p w14:paraId="5706627E">
            <w:pPr>
              <w:pStyle w:val="5"/>
              <w:keepNext w:val="0"/>
              <w:keepLines w:val="0"/>
              <w:pageBreakBefore w:val="0"/>
              <w:widowControl w:val="0"/>
              <w:tabs>
                <w:tab w:val="left" w:pos="35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eastAsia="en-US"/>
              </w:rPr>
              <w:t>号</w:t>
            </w:r>
          </w:p>
        </w:tc>
        <w:tc>
          <w:tcPr>
            <w:tcW w:w="4615" w:type="dxa"/>
            <w:gridSpan w:val="3"/>
            <w:noWrap w:val="0"/>
            <w:vAlign w:val="center"/>
          </w:tcPr>
          <w:p w14:paraId="4079A604">
            <w:pPr>
              <w:pStyle w:val="5"/>
              <w:keepNext w:val="0"/>
              <w:keepLines w:val="0"/>
              <w:pageBreakBefore w:val="0"/>
              <w:widowControl w:val="0"/>
              <w:tabs>
                <w:tab w:val="left" w:pos="35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eastAsia="en-US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eastAsia="en-US"/>
              </w:rPr>
              <w:t>裁量要素</w:t>
            </w:r>
          </w:p>
        </w:tc>
        <w:tc>
          <w:tcPr>
            <w:tcW w:w="2837" w:type="dxa"/>
            <w:gridSpan w:val="2"/>
            <w:noWrap w:val="0"/>
            <w:vAlign w:val="center"/>
          </w:tcPr>
          <w:p w14:paraId="31FDC9DF">
            <w:pPr>
              <w:pStyle w:val="5"/>
              <w:keepNext w:val="0"/>
              <w:keepLines w:val="0"/>
              <w:pageBreakBefore w:val="0"/>
              <w:widowControl w:val="0"/>
              <w:tabs>
                <w:tab w:val="left" w:pos="35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val="en-US" w:eastAsia="en-US"/>
              </w:rPr>
              <w:t>判定标准</w:t>
            </w:r>
          </w:p>
        </w:tc>
        <w:tc>
          <w:tcPr>
            <w:tcW w:w="873" w:type="dxa"/>
            <w:vMerge w:val="restart"/>
            <w:noWrap w:val="0"/>
            <w:vAlign w:val="center"/>
          </w:tcPr>
          <w:p w14:paraId="220B31B9">
            <w:pPr>
              <w:pStyle w:val="5"/>
              <w:keepNext w:val="0"/>
              <w:keepLines w:val="0"/>
              <w:pageBreakBefore w:val="0"/>
              <w:widowControl w:val="0"/>
              <w:tabs>
                <w:tab w:val="left" w:pos="35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val="en-US" w:eastAsia="zh-CN"/>
              </w:rPr>
              <w:t>决定</w:t>
            </w:r>
          </w:p>
        </w:tc>
      </w:tr>
      <w:tr w14:paraId="343197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4" w:hRule="exact"/>
          <w:tblHeader/>
        </w:trPr>
        <w:tc>
          <w:tcPr>
            <w:tcW w:w="468" w:type="dxa"/>
            <w:vMerge w:val="continue"/>
            <w:tcBorders>
              <w:top w:val="nil"/>
            </w:tcBorders>
            <w:noWrap w:val="0"/>
            <w:vAlign w:val="center"/>
          </w:tcPr>
          <w:p w14:paraId="207874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left="0" w:leftChars="0" w:right="0" w:rightChars="0" w:firstLine="408" w:firstLineChars="20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3"/>
                <w:kern w:val="0"/>
                <w:sz w:val="21"/>
                <w:szCs w:val="21"/>
                <w:lang w:val="zh-CN" w:eastAsia="en-US" w:bidi="zh-CN"/>
              </w:rPr>
            </w:pPr>
          </w:p>
        </w:tc>
        <w:tc>
          <w:tcPr>
            <w:tcW w:w="1360" w:type="dxa"/>
            <w:noWrap w:val="0"/>
            <w:vAlign w:val="center"/>
          </w:tcPr>
          <w:p w14:paraId="7289C6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pacing w:val="-3"/>
                <w:kern w:val="0"/>
                <w:sz w:val="21"/>
                <w:szCs w:val="21"/>
                <w:lang w:val="zh-CN" w:eastAsia="en-US" w:bidi="zh-CN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  <w:kern w:val="0"/>
                <w:sz w:val="21"/>
                <w:szCs w:val="21"/>
                <w:lang w:val="zh-CN" w:eastAsia="en-US" w:bidi="zh-CN"/>
              </w:rPr>
              <w:t>要素</w:t>
            </w:r>
          </w:p>
        </w:tc>
        <w:tc>
          <w:tcPr>
            <w:tcW w:w="2625" w:type="dxa"/>
            <w:noWrap w:val="0"/>
            <w:vAlign w:val="center"/>
          </w:tcPr>
          <w:p w14:paraId="6CACC00E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val="en-US" w:eastAsia="en-US"/>
              </w:rPr>
              <w:t>具体条件</w:t>
            </w:r>
          </w:p>
        </w:tc>
        <w:tc>
          <w:tcPr>
            <w:tcW w:w="630" w:type="dxa"/>
            <w:noWrap w:val="0"/>
            <w:vAlign w:val="center"/>
          </w:tcPr>
          <w:p w14:paraId="75D69A99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val="en-US" w:eastAsia="en-US"/>
              </w:rPr>
              <w:t>构成</w:t>
            </w:r>
            <w:r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val="en-US" w:eastAsia="en-US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val="en-US" w:eastAsia="en-US"/>
              </w:rPr>
              <w:t>比例</w:t>
            </w:r>
          </w:p>
        </w:tc>
        <w:tc>
          <w:tcPr>
            <w:tcW w:w="1688" w:type="dxa"/>
            <w:noWrap w:val="0"/>
            <w:vAlign w:val="center"/>
          </w:tcPr>
          <w:p w14:paraId="59092B08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val="en-US" w:eastAsia="en-US"/>
              </w:rPr>
              <w:t>程度</w:t>
            </w:r>
          </w:p>
        </w:tc>
        <w:tc>
          <w:tcPr>
            <w:tcW w:w="1149" w:type="dxa"/>
            <w:noWrap w:val="0"/>
            <w:vAlign w:val="center"/>
          </w:tcPr>
          <w:p w14:paraId="676A0777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3"/>
                <w:sz w:val="21"/>
                <w:szCs w:val="21"/>
                <w:lang w:val="en-US" w:eastAsia="en-US"/>
              </w:rPr>
              <w:t>百分值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2"/>
                <w:lang w:val="en-US" w:eastAsia="en-US" w:bidi="zh-CN"/>
              </w:rPr>
              <w:t>（X）</w:t>
            </w:r>
          </w:p>
        </w:tc>
        <w:tc>
          <w:tcPr>
            <w:tcW w:w="873" w:type="dxa"/>
            <w:vMerge w:val="continue"/>
            <w:noWrap w:val="0"/>
            <w:vAlign w:val="center"/>
          </w:tcPr>
          <w:p w14:paraId="5CD09F7E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3"/>
                <w:sz w:val="21"/>
                <w:szCs w:val="21"/>
                <w:lang w:val="en-US" w:eastAsia="en-US"/>
              </w:rPr>
            </w:pPr>
          </w:p>
        </w:tc>
      </w:tr>
      <w:tr w14:paraId="7DC256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99" w:hRule="exact"/>
        </w:trPr>
        <w:tc>
          <w:tcPr>
            <w:tcW w:w="468" w:type="dxa"/>
            <w:vMerge w:val="restart"/>
            <w:noWrap w:val="0"/>
            <w:vAlign w:val="center"/>
          </w:tcPr>
          <w:p w14:paraId="7D4DEC12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2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2"/>
                <w:lang w:val="en-US" w:eastAsia="en-US"/>
              </w:rPr>
              <w:t>1</w:t>
            </w:r>
          </w:p>
        </w:tc>
        <w:tc>
          <w:tcPr>
            <w:tcW w:w="1360" w:type="dxa"/>
            <w:vMerge w:val="restart"/>
            <w:noWrap w:val="0"/>
            <w:vAlign w:val="center"/>
          </w:tcPr>
          <w:p w14:paraId="3B4808F2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2"/>
                <w:lang w:val="en-US" w:eastAsia="zh-CN"/>
              </w:rPr>
              <w:t>违法事实情节</w:t>
            </w:r>
          </w:p>
        </w:tc>
        <w:tc>
          <w:tcPr>
            <w:tcW w:w="2625" w:type="dxa"/>
            <w:noWrap w:val="0"/>
            <w:vAlign w:val="center"/>
          </w:tcPr>
          <w:p w14:paraId="47ACA7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违法行为类型：发现有10份不同品牌、不同发动机型号的汽车排放检验报告存在发动机控制单元CALID和CVN数据存在有一致现象。</w:t>
            </w:r>
          </w:p>
        </w:tc>
        <w:tc>
          <w:tcPr>
            <w:tcW w:w="630" w:type="dxa"/>
            <w:noWrap w:val="0"/>
            <w:vAlign w:val="center"/>
          </w:tcPr>
          <w:p w14:paraId="291700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40%</w:t>
            </w:r>
          </w:p>
        </w:tc>
        <w:tc>
          <w:tcPr>
            <w:tcW w:w="1688" w:type="dxa"/>
            <w:noWrap w:val="0"/>
            <w:vAlign w:val="center"/>
          </w:tcPr>
          <w:p w14:paraId="5505AB73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en-US" w:eastAsia="zh-CN" w:bidi="zh-CN"/>
              </w:rPr>
              <w:t xml:space="preserve">伪造结果或出具虚假报告4辆以上 </w:t>
            </w:r>
          </w:p>
          <w:p w14:paraId="0E3BF25A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en-US" w:eastAsia="zh-CN" w:bidi="zh-CN"/>
              </w:rPr>
              <w:t>10辆以下的</w:t>
            </w:r>
          </w:p>
        </w:tc>
        <w:tc>
          <w:tcPr>
            <w:tcW w:w="1149" w:type="dxa"/>
            <w:noWrap w:val="0"/>
            <w:vAlign w:val="center"/>
          </w:tcPr>
          <w:p w14:paraId="4ED982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15%＜X≤25%</w:t>
            </w:r>
          </w:p>
        </w:tc>
        <w:tc>
          <w:tcPr>
            <w:tcW w:w="873" w:type="dxa"/>
            <w:noWrap w:val="0"/>
            <w:vAlign w:val="center"/>
          </w:tcPr>
          <w:p w14:paraId="715ABC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24%</w:t>
            </w:r>
          </w:p>
        </w:tc>
      </w:tr>
      <w:tr w14:paraId="745752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82" w:hRule="exact"/>
        </w:trPr>
        <w:tc>
          <w:tcPr>
            <w:tcW w:w="468" w:type="dxa"/>
            <w:vMerge w:val="continue"/>
            <w:noWrap w:val="0"/>
            <w:vAlign w:val="center"/>
          </w:tcPr>
          <w:p w14:paraId="44670FED">
            <w:pPr>
              <w:pStyle w:val="5"/>
              <w:keepNext w:val="0"/>
              <w:keepLines w:val="0"/>
              <w:pageBreakBefore w:val="0"/>
              <w:widowControl w:val="0"/>
              <w:tabs>
                <w:tab w:val="left" w:pos="35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3"/>
                <w:sz w:val="21"/>
                <w:szCs w:val="21"/>
                <w:lang w:val="en-US" w:eastAsia="en-US"/>
              </w:rPr>
            </w:pPr>
          </w:p>
        </w:tc>
        <w:tc>
          <w:tcPr>
            <w:tcW w:w="1360" w:type="dxa"/>
            <w:vMerge w:val="continue"/>
            <w:noWrap w:val="0"/>
            <w:vAlign w:val="center"/>
          </w:tcPr>
          <w:p w14:paraId="1EB7885E">
            <w:pPr>
              <w:pStyle w:val="5"/>
              <w:keepNext w:val="0"/>
              <w:keepLines w:val="0"/>
              <w:pageBreakBefore w:val="0"/>
              <w:widowControl w:val="0"/>
              <w:tabs>
                <w:tab w:val="left" w:pos="35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3"/>
                <w:sz w:val="21"/>
                <w:szCs w:val="21"/>
                <w:lang w:val="en-US" w:eastAsia="en-US"/>
              </w:rPr>
            </w:pPr>
          </w:p>
        </w:tc>
        <w:tc>
          <w:tcPr>
            <w:tcW w:w="2625" w:type="dxa"/>
            <w:noWrap w:val="0"/>
            <w:vAlign w:val="center"/>
          </w:tcPr>
          <w:p w14:paraId="2AC285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自2022年11月7日到2024年11月7日期间未接受过生态环境部门处罚</w:t>
            </w:r>
          </w:p>
        </w:tc>
        <w:tc>
          <w:tcPr>
            <w:tcW w:w="630" w:type="dxa"/>
            <w:noWrap w:val="0"/>
            <w:vAlign w:val="center"/>
          </w:tcPr>
          <w:p w14:paraId="5F2E9F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zh-CN" w:bidi="zh-CN"/>
              </w:rPr>
              <w:t>20</w:t>
            </w: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%</w:t>
            </w:r>
          </w:p>
        </w:tc>
        <w:tc>
          <w:tcPr>
            <w:tcW w:w="1688" w:type="dxa"/>
            <w:noWrap w:val="0"/>
            <w:vAlign w:val="center"/>
          </w:tcPr>
          <w:p w14:paraId="6177BE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en-US" w:eastAsia="en-US" w:bidi="zh-CN"/>
              </w:rPr>
              <w:t>两年违反次数0次</w:t>
            </w:r>
          </w:p>
        </w:tc>
        <w:tc>
          <w:tcPr>
            <w:tcW w:w="1149" w:type="dxa"/>
            <w:noWrap w:val="0"/>
            <w:vAlign w:val="center"/>
          </w:tcPr>
          <w:p w14:paraId="04A9C5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en-US" w:bidi="zh-CN"/>
              </w:rPr>
              <w:t>0%</w:t>
            </w:r>
          </w:p>
        </w:tc>
        <w:tc>
          <w:tcPr>
            <w:tcW w:w="873" w:type="dxa"/>
            <w:noWrap w:val="0"/>
            <w:vAlign w:val="center"/>
          </w:tcPr>
          <w:p w14:paraId="240348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en-US" w:bidi="zh-CN"/>
              </w:rPr>
              <w:t>0%</w:t>
            </w:r>
          </w:p>
        </w:tc>
      </w:tr>
      <w:tr w14:paraId="7EDD4D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29" w:hRule="exact"/>
        </w:trPr>
        <w:tc>
          <w:tcPr>
            <w:tcW w:w="4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B408AF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1"/>
                <w:szCs w:val="22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2"/>
                <w:lang w:val="en-US" w:eastAsia="en-US"/>
              </w:rPr>
              <w:t>2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741E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2"/>
                <w:lang w:val="en-US" w:eastAsia="en-US" w:bidi="zh-CN"/>
              </w:rPr>
              <w:t>整改情况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D944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 xml:space="preserve">是否停止违法并 </w:t>
            </w:r>
          </w:p>
          <w:p w14:paraId="42666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进行改正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4D70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zh-CN" w:bidi="zh-CN"/>
              </w:rPr>
              <w:t>1</w:t>
            </w: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0%</w:t>
            </w:r>
          </w:p>
        </w:tc>
        <w:tc>
          <w:tcPr>
            <w:tcW w:w="1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DD03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en-US" w:eastAsia="en-US" w:bidi="zh-CN"/>
              </w:rPr>
              <w:t xml:space="preserve">已停止违法，且进行改正 </w:t>
            </w:r>
          </w:p>
        </w:tc>
        <w:tc>
          <w:tcPr>
            <w:tcW w:w="1149" w:type="dxa"/>
            <w:tcBorders>
              <w:left w:val="single" w:color="auto" w:sz="4" w:space="0"/>
            </w:tcBorders>
            <w:noWrap w:val="0"/>
            <w:vAlign w:val="center"/>
          </w:tcPr>
          <w:p w14:paraId="22C20A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zh-CN" w:bidi="zh-CN"/>
              </w:rPr>
              <w:t>0%</w:t>
            </w:r>
          </w:p>
        </w:tc>
        <w:tc>
          <w:tcPr>
            <w:tcW w:w="873" w:type="dxa"/>
            <w:tcBorders>
              <w:left w:val="single" w:color="auto" w:sz="4" w:space="0"/>
            </w:tcBorders>
            <w:noWrap w:val="0"/>
            <w:vAlign w:val="center"/>
          </w:tcPr>
          <w:p w14:paraId="36DC4C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lang w:val="en-US" w:eastAsia="zh-CN"/>
              </w:rPr>
              <w:t>0%</w:t>
            </w:r>
          </w:p>
        </w:tc>
      </w:tr>
      <w:tr w14:paraId="58AF50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4" w:hRule="exact"/>
        </w:trPr>
        <w:tc>
          <w:tcPr>
            <w:tcW w:w="46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72339FC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3"/>
                <w:sz w:val="21"/>
                <w:szCs w:val="21"/>
                <w:lang w:val="en-US" w:eastAsia="en-U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lang w:val="en-US" w:eastAsia="en-US"/>
              </w:rPr>
              <w:t>3</w:t>
            </w:r>
          </w:p>
        </w:tc>
        <w:tc>
          <w:tcPr>
            <w:tcW w:w="136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61AF6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2"/>
                <w:lang w:val="en-US" w:eastAsia="en-US" w:bidi="zh-CN"/>
              </w:rPr>
              <w:t>社会影响和生态破坏程度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72517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共收入违法所得1900元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9EE37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20%</w:t>
            </w:r>
          </w:p>
        </w:tc>
        <w:tc>
          <w:tcPr>
            <w:tcW w:w="1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49B0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en-US" w:eastAsia="en-US" w:bidi="zh-CN"/>
              </w:rPr>
              <w:t>轻微（1级）</w:t>
            </w:r>
          </w:p>
        </w:tc>
        <w:tc>
          <w:tcPr>
            <w:tcW w:w="1149" w:type="dxa"/>
            <w:tcBorders>
              <w:left w:val="single" w:color="auto" w:sz="4" w:space="0"/>
            </w:tcBorders>
            <w:noWrap w:val="0"/>
            <w:vAlign w:val="center"/>
          </w:tcPr>
          <w:p w14:paraId="3A6620A6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44" w:line="560" w:lineRule="exact"/>
              <w:ind w:right="75" w:right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1%≤X≤5%</w:t>
            </w:r>
          </w:p>
        </w:tc>
        <w:tc>
          <w:tcPr>
            <w:tcW w:w="873" w:type="dxa"/>
            <w:tcBorders>
              <w:left w:val="single" w:color="auto" w:sz="4" w:space="0"/>
            </w:tcBorders>
            <w:noWrap w:val="0"/>
            <w:vAlign w:val="center"/>
          </w:tcPr>
          <w:p w14:paraId="56E3D95B"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2%</w:t>
            </w:r>
          </w:p>
        </w:tc>
      </w:tr>
      <w:tr w14:paraId="4E6754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9" w:hRule="exact"/>
        </w:trPr>
        <w:tc>
          <w:tcPr>
            <w:tcW w:w="46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90F85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lang w:eastAsia="en-U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1"/>
                <w:szCs w:val="22"/>
                <w:lang w:val="en-US" w:eastAsia="zh-CN" w:bidi="zh-CN"/>
              </w:rPr>
              <w:t>4</w:t>
            </w:r>
          </w:p>
        </w:tc>
        <w:tc>
          <w:tcPr>
            <w:tcW w:w="136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C3441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1"/>
                <w:szCs w:val="22"/>
                <w:lang w:val="zh-CN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21"/>
                <w:szCs w:val="22"/>
                <w:lang w:val="zh-CN" w:eastAsia="zh-CN" w:bidi="zh-CN"/>
              </w:rPr>
              <w:t>经济承受度</w:t>
            </w:r>
          </w:p>
        </w:tc>
        <w:tc>
          <w:tcPr>
            <w:tcW w:w="262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BF2D2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color w:val="auto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从业人员17人</w:t>
            </w:r>
          </w:p>
        </w:tc>
        <w:tc>
          <w:tcPr>
            <w:tcW w:w="630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CA73B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5%</w:t>
            </w:r>
          </w:p>
        </w:tc>
        <w:tc>
          <w:tcPr>
            <w:tcW w:w="1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0B4E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pacing w:val="0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pacing w:val="0"/>
                <w:kern w:val="0"/>
                <w:position w:val="1"/>
                <w:sz w:val="21"/>
                <w:szCs w:val="22"/>
                <w:lang w:val="en-US" w:eastAsia="en-US" w:bidi="zh-CN"/>
              </w:rPr>
              <w:t>小型企事业单位（涉公益单位）</w:t>
            </w:r>
          </w:p>
          <w:p w14:paraId="0DE1A7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pacing w:val="0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</w:p>
        </w:tc>
        <w:tc>
          <w:tcPr>
            <w:tcW w:w="1149" w:type="dxa"/>
            <w:tcBorders>
              <w:left w:val="single" w:color="auto" w:sz="4" w:space="0"/>
            </w:tcBorders>
            <w:noWrap w:val="0"/>
            <w:vAlign w:val="center"/>
          </w:tcPr>
          <w:p w14:paraId="5547EE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－3%≤X＜0</w:t>
            </w:r>
          </w:p>
        </w:tc>
        <w:tc>
          <w:tcPr>
            <w:tcW w:w="873" w:type="dxa"/>
            <w:tcBorders>
              <w:left w:val="single" w:color="auto" w:sz="4" w:space="0"/>
            </w:tcBorders>
            <w:noWrap w:val="0"/>
            <w:vAlign w:val="center"/>
          </w:tcPr>
          <w:p w14:paraId="59FD57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color w:val="auto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-2%</w:t>
            </w:r>
          </w:p>
        </w:tc>
      </w:tr>
      <w:tr w14:paraId="3A4A4A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62" w:hRule="exact"/>
        </w:trPr>
        <w:tc>
          <w:tcPr>
            <w:tcW w:w="46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2611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lang w:eastAsia="en-U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2"/>
                <w:lang w:val="en-US" w:eastAsia="zh-CN" w:bidi="zh-CN"/>
              </w:rPr>
              <w:t>5</w:t>
            </w:r>
          </w:p>
        </w:tc>
        <w:tc>
          <w:tcPr>
            <w:tcW w:w="136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500D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2"/>
                <w:lang w:val="zh-CN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2"/>
                <w:lang w:val="zh-CN" w:eastAsia="zh-CN" w:bidi="zh-CN"/>
              </w:rPr>
              <w:t>地区差异</w:t>
            </w:r>
          </w:p>
        </w:tc>
        <w:tc>
          <w:tcPr>
            <w:tcW w:w="262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4C12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zh-CN" w:eastAsia="en-US" w:bidi="zh-CN"/>
              </w:rPr>
              <w:t>经济社会发展程度及环境容量的大小</w:t>
            </w:r>
          </w:p>
        </w:tc>
        <w:tc>
          <w:tcPr>
            <w:tcW w:w="6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EF3D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5%</w:t>
            </w:r>
          </w:p>
        </w:tc>
        <w:tc>
          <w:tcPr>
            <w:tcW w:w="1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D7ED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en-US" w:eastAsia="en-US" w:bidi="zh-CN"/>
              </w:rPr>
              <w:t>各地级市可以结合实际自行确定地区差异，裁量比例数值</w:t>
            </w:r>
            <w:r>
              <w:rPr>
                <w:rFonts w:hint="eastAsia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zh-CN" w:eastAsia="en-US" w:bidi="zh-CN"/>
              </w:rPr>
              <w:t>（加减５</w:t>
            </w:r>
            <w:r>
              <w:rPr>
                <w:rFonts w:hint="eastAsia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en-US" w:eastAsia="en-US" w:bidi="zh-CN"/>
              </w:rPr>
              <w:t>%</w:t>
            </w:r>
            <w:r>
              <w:rPr>
                <w:rFonts w:hint="eastAsia" w:ascii="仿宋" w:hAnsi="仿宋" w:eastAsia="仿宋" w:cs="仿宋"/>
                <w:b w:val="0"/>
                <w:bCs w:val="0"/>
                <w:spacing w:val="0"/>
                <w:kern w:val="0"/>
                <w:position w:val="1"/>
                <w:sz w:val="21"/>
                <w:szCs w:val="22"/>
                <w:lang w:val="zh-CN" w:eastAsia="en-US" w:bidi="zh-CN"/>
              </w:rPr>
              <w:t>）</w:t>
            </w:r>
          </w:p>
        </w:tc>
        <w:tc>
          <w:tcPr>
            <w:tcW w:w="1149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C8CB0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－5%≤X≤5%</w:t>
            </w:r>
          </w:p>
        </w:tc>
        <w:tc>
          <w:tcPr>
            <w:tcW w:w="873" w:type="dxa"/>
            <w:tcBorders>
              <w:left w:val="single" w:color="auto" w:sz="4" w:space="0"/>
            </w:tcBorders>
            <w:noWrap w:val="0"/>
            <w:vAlign w:val="center"/>
          </w:tcPr>
          <w:p w14:paraId="405808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0%</w:t>
            </w:r>
          </w:p>
        </w:tc>
      </w:tr>
      <w:tr w14:paraId="2BD570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2" w:hRule="exact"/>
        </w:trPr>
        <w:tc>
          <w:tcPr>
            <w:tcW w:w="79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297F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8"/>
                <w:szCs w:val="28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8"/>
                <w:szCs w:val="28"/>
                <w:lang w:val="en-US" w:eastAsia="en-US" w:bidi="zh-CN"/>
              </w:rPr>
              <w:t>合  计</w:t>
            </w:r>
          </w:p>
        </w:tc>
        <w:tc>
          <w:tcPr>
            <w:tcW w:w="873" w:type="dxa"/>
            <w:tcBorders>
              <w:left w:val="single" w:color="auto" w:sz="4" w:space="0"/>
            </w:tcBorders>
            <w:noWrap w:val="0"/>
            <w:vAlign w:val="center"/>
          </w:tcPr>
          <w:p w14:paraId="36B491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pacing w:val="-2"/>
                <w:kern w:val="0"/>
                <w:position w:val="1"/>
                <w:sz w:val="21"/>
                <w:szCs w:val="22"/>
                <w:lang w:val="en-US" w:eastAsia="en-US" w:bidi="zh-CN"/>
              </w:rPr>
              <w:t>24%</w:t>
            </w:r>
          </w:p>
        </w:tc>
      </w:tr>
    </w:tbl>
    <w:p w14:paraId="54EDC4B1">
      <w:pPr>
        <w:pStyle w:val="5"/>
        <w:keepNext w:val="0"/>
        <w:keepLines w:val="0"/>
        <w:pageBreakBefore w:val="0"/>
        <w:widowControl w:val="0"/>
        <w:tabs>
          <w:tab w:val="left" w:pos="35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b/>
          <w:bCs/>
          <w:color w:val="000000"/>
          <w:spacing w:val="-3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pacing w:val="-3"/>
          <w:sz w:val="21"/>
          <w:szCs w:val="21"/>
          <w:lang w:val="en-US"/>
        </w:rPr>
        <w:t>计算方法</w:t>
      </w:r>
      <w:r>
        <w:rPr>
          <w:rFonts w:hint="eastAsia" w:ascii="仿宋" w:hAnsi="仿宋" w:eastAsia="仿宋" w:cs="仿宋"/>
          <w:b/>
          <w:bCs/>
          <w:color w:val="000000"/>
          <w:spacing w:val="-3"/>
          <w:sz w:val="21"/>
          <w:szCs w:val="21"/>
          <w:lang w:val="en-US" w:eastAsia="zh-CN"/>
        </w:rPr>
        <w:t>：</w:t>
      </w:r>
    </w:p>
    <w:p w14:paraId="6AFCE930">
      <w:pPr>
        <w:pStyle w:val="5"/>
        <w:keepNext w:val="0"/>
        <w:keepLines w:val="0"/>
        <w:pageBreakBefore w:val="0"/>
        <w:widowControl w:val="0"/>
        <w:tabs>
          <w:tab w:val="left" w:pos="35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firstLine="420" w:firstLineChars="200"/>
        <w:textAlignment w:val="auto"/>
        <w:rPr>
          <w:rFonts w:hint="eastAsia" w:ascii="仿宋" w:hAnsi="仿宋" w:eastAsia="仿宋" w:cs="仿宋"/>
          <w:color w:val="000000"/>
          <w:kern w:val="2"/>
          <w:sz w:val="21"/>
          <w:lang w:val="en-US" w:eastAsia="zh-CN" w:bidi="ar-SA"/>
        </w:rPr>
      </w:pPr>
      <w:r>
        <w:rPr>
          <w:rFonts w:hint="eastAsia" w:ascii="仿宋" w:hAnsi="仿宋" w:eastAsia="仿宋" w:cs="仿宋"/>
          <w:color w:val="000000"/>
          <w:kern w:val="2"/>
          <w:sz w:val="21"/>
          <w:lang w:val="en-US" w:eastAsia="zh-CN" w:bidi="ar-SA"/>
        </w:rPr>
        <w:t xml:space="preserve">本裁量表格计算方法： </w:t>
      </w:r>
    </w:p>
    <w:p w14:paraId="7D79D53A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ind w:firstLine="420" w:firstLineChars="200"/>
        <w:textAlignment w:val="auto"/>
        <w:rPr>
          <w:rFonts w:hint="eastAsia"/>
          <w:lang w:eastAsia="zh-CN"/>
        </w:rPr>
      </w:pPr>
      <w:r>
        <w:rPr>
          <w:rFonts w:hint="eastAsia" w:ascii="仿宋" w:hAnsi="仿宋" w:eastAsia="仿宋" w:cs="仿宋"/>
          <w:color w:val="000000"/>
          <w:kern w:val="2"/>
          <w:sz w:val="21"/>
          <w:lang w:val="en-US" w:eastAsia="zh-CN" w:bidi="ar-SA"/>
        </w:rPr>
        <w:t>罚款金额=百分值之和×最高法定罚款上限 50万元，罚款金额按“千”取整，不得低于法定限额。</w:t>
      </w:r>
    </w:p>
    <w:p w14:paraId="4BB40004">
      <w:pPr>
        <w:rPr>
          <w:rFonts w:hint="eastAsia" w:eastAsia="宋体"/>
          <w:lang w:eastAsia="zh-CN"/>
        </w:rPr>
      </w:pPr>
    </w:p>
    <w:sectPr>
      <w:pgSz w:w="11906" w:h="16838"/>
      <w:pgMar w:top="1440" w:right="1588" w:bottom="1440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zZjRiYmU0ODZjNDZhYWRkMmQ5MTNhYjEyZmFhOWQifQ=="/>
  </w:docVars>
  <w:rsids>
    <w:rsidRoot w:val="603E7C4E"/>
    <w:rsid w:val="06A50B76"/>
    <w:rsid w:val="603E7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jc w:val="left"/>
      <w:outlineLvl w:val="2"/>
    </w:pPr>
    <w:rPr>
      <w:rFonts w:eastAsia="微软雅黑"/>
      <w:b/>
      <w:sz w:val="28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  <w:lang w:val="zh-CN" w:bidi="zh-CN"/>
    </w:rPr>
  </w:style>
  <w:style w:type="table" w:customStyle="1" w:styleId="6">
    <w:name w:val="Table Normal"/>
    <w:unhideWhenUsed/>
    <w:qFormat/>
    <w:uiPriority w:val="2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Office_12.1.0.18543_F1E327BC-269C-435d-A152-05C5408002CA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2024-12-25T06:57:00Z</dcterms:created>
  <dc:creator>123456</dc:creator>
  <cp:lastModifiedBy>123456</cp:lastModifiedBy>
  <dcterms:modified xsi:type="dcterms:W3CDTF">2024-12-25T07:03:40Z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2052-12.1.0.18543</vt:lpwstr>
  </property>
  <property fmtid="{D5CDD505-2E9C-101B-9397-08002B2CF9AE}" pid="3" name="ICV">
    <vt:lpwstr>BDB8B1A76A76497E99F7E9A5F11CE620_13</vt:lpwstr>
  </property>
</Properties>
</file>