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105" w:right="-105"/>
        <w:jc w:val="left"/>
        <w:rPr>
          <w:rFonts w:hint="eastAsia" w:ascii="微软雅黑" w:hAnsi="微软雅黑" w:eastAsia="微软雅黑" w:cs="微软雅黑"/>
          <w:spacing w:val="13"/>
          <w:kern w:val="0"/>
          <w:sz w:val="24"/>
          <w:szCs w:val="24"/>
          <w:lang w:val="en-US" w:eastAsia="zh-CN" w:bidi="ar"/>
        </w:rPr>
      </w:pPr>
      <w:r>
        <w:rPr>
          <w:rFonts w:hint="eastAsia" w:ascii="微软雅黑" w:hAnsi="微软雅黑" w:eastAsia="微软雅黑" w:cs="微软雅黑"/>
          <w:spacing w:val="13"/>
          <w:kern w:val="0"/>
          <w:sz w:val="24"/>
          <w:szCs w:val="24"/>
          <w:lang w:val="en-US" w:eastAsia="zh-CN" w:bidi="ar"/>
        </w:rPr>
        <w:t>附件：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9" w:beforeAutospacing="0" w:after="0" w:afterAutospacing="0" w:line="540" w:lineRule="atLeast"/>
        <w:ind w:left="0" w:right="0"/>
        <w:jc w:val="center"/>
        <w:rPr>
          <w:rFonts w:hint="eastAsia" w:ascii="微软雅黑" w:hAnsi="微软雅黑" w:eastAsia="微软雅黑" w:cs="微软雅黑"/>
          <w:kern w:val="0"/>
          <w:sz w:val="32"/>
          <w:szCs w:val="32"/>
          <w:lang w:val="en-US" w:eastAsia="zh-CN" w:bidi="ar"/>
        </w:rPr>
      </w:pPr>
      <w:r>
        <w:rPr>
          <w:rFonts w:hint="eastAsia" w:ascii="微软雅黑" w:hAnsi="微软雅黑" w:eastAsia="微软雅黑" w:cs="微软雅黑"/>
          <w:kern w:val="0"/>
          <w:sz w:val="44"/>
          <w:szCs w:val="44"/>
          <w:lang w:val="en-US" w:eastAsia="zh-CN" w:bidi="ar"/>
        </w:rPr>
        <w:t>山阴县创建县域学前教育普及普惠县督导评估工作任务分解表</w:t>
      </w:r>
    </w:p>
    <w:tbl>
      <w:tblPr>
        <w:tblStyle w:val="7"/>
        <w:tblW w:w="14742" w:type="dxa"/>
        <w:jc w:val="center"/>
        <w:tblCellSpacing w:w="0" w:type="dxa"/>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385"/>
        <w:gridCol w:w="740"/>
        <w:gridCol w:w="153"/>
        <w:gridCol w:w="236"/>
        <w:gridCol w:w="1018"/>
        <w:gridCol w:w="2040"/>
        <w:gridCol w:w="6594"/>
        <w:gridCol w:w="1161"/>
        <w:gridCol w:w="105"/>
        <w:gridCol w:w="1095"/>
        <w:gridCol w:w="1215"/>
      </w:tblGrid>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Before w:val="1"/>
          <w:wBefore w:w="385" w:type="dxa"/>
          <w:trHeight w:val="405" w:hRule="atLeast"/>
          <w:tblCellSpacing w:w="0" w:type="dxa"/>
          <w:jc w:val="center"/>
        </w:trPr>
        <w:tc>
          <w:tcPr>
            <w:tcW w:w="1129" w:type="dxa"/>
            <w:gridSpan w:val="3"/>
            <w:tcBorders>
              <w:top w:val="single" w:color="231F20" w:sz="8" w:space="0"/>
              <w:left w:val="single" w:color="231F20" w:sz="8" w:space="0"/>
              <w:bottom w:val="single" w:color="231F20" w:sz="8" w:space="0"/>
              <w:right w:val="single" w:color="231F20"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105" w:right="-105"/>
              <w:jc w:val="center"/>
              <w:rPr>
                <w:rFonts w:hint="eastAsia" w:ascii="微软雅黑" w:hAnsi="微软雅黑" w:eastAsia="微软雅黑" w:cs="微软雅黑"/>
                <w:sz w:val="24"/>
                <w:szCs w:val="24"/>
              </w:rPr>
            </w:pPr>
            <w:r>
              <w:rPr>
                <w:rFonts w:hint="eastAsia" w:ascii="微软雅黑" w:hAnsi="微软雅黑" w:eastAsia="微软雅黑" w:cs="微软雅黑"/>
                <w:spacing w:val="13"/>
                <w:kern w:val="0"/>
                <w:sz w:val="24"/>
                <w:szCs w:val="24"/>
                <w:lang w:val="en-US" w:eastAsia="zh-CN" w:bidi="ar"/>
              </w:rPr>
              <w:t>一级指标</w:t>
            </w:r>
          </w:p>
        </w:tc>
        <w:tc>
          <w:tcPr>
            <w:tcW w:w="1018" w:type="dxa"/>
            <w:tcBorders>
              <w:top w:val="single" w:color="231F20" w:sz="8" w:space="0"/>
              <w:left w:val="nil"/>
              <w:bottom w:val="single" w:color="231F20" w:sz="8" w:space="0"/>
              <w:right w:val="single" w:color="231F20"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105" w:right="-105"/>
              <w:jc w:val="center"/>
              <w:rPr>
                <w:rFonts w:hint="eastAsia" w:ascii="微软雅黑" w:hAnsi="微软雅黑" w:eastAsia="微软雅黑" w:cs="微软雅黑"/>
                <w:sz w:val="24"/>
                <w:szCs w:val="24"/>
              </w:rPr>
            </w:pPr>
            <w:r>
              <w:rPr>
                <w:rFonts w:hint="eastAsia" w:ascii="微软雅黑" w:hAnsi="微软雅黑" w:eastAsia="微软雅黑" w:cs="微软雅黑"/>
                <w:spacing w:val="13"/>
                <w:kern w:val="0"/>
                <w:sz w:val="24"/>
                <w:szCs w:val="24"/>
                <w:lang w:val="en-US" w:eastAsia="zh-CN" w:bidi="ar"/>
              </w:rPr>
              <w:t>二级指标</w:t>
            </w:r>
          </w:p>
        </w:tc>
        <w:tc>
          <w:tcPr>
            <w:tcW w:w="2040" w:type="dxa"/>
            <w:tcBorders>
              <w:top w:val="single" w:color="231F20" w:sz="8" w:space="0"/>
              <w:left w:val="nil"/>
              <w:bottom w:val="single" w:color="231F20" w:sz="8" w:space="0"/>
              <w:right w:val="single" w:color="231F20"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105" w:right="-105"/>
              <w:jc w:val="center"/>
              <w:rPr>
                <w:rFonts w:hint="eastAsia" w:ascii="微软雅黑" w:hAnsi="微软雅黑" w:eastAsia="微软雅黑" w:cs="微软雅黑"/>
                <w:sz w:val="24"/>
                <w:szCs w:val="24"/>
              </w:rPr>
            </w:pPr>
            <w:r>
              <w:rPr>
                <w:rFonts w:hint="eastAsia" w:ascii="微软雅黑" w:hAnsi="微软雅黑" w:eastAsia="微软雅黑" w:cs="微软雅黑"/>
                <w:spacing w:val="13"/>
                <w:kern w:val="0"/>
                <w:sz w:val="24"/>
                <w:szCs w:val="24"/>
                <w:lang w:val="en-US" w:eastAsia="zh-CN" w:bidi="ar"/>
              </w:rPr>
              <w:t>三级指标</w:t>
            </w:r>
          </w:p>
        </w:tc>
        <w:tc>
          <w:tcPr>
            <w:tcW w:w="6594" w:type="dxa"/>
            <w:tcBorders>
              <w:top w:val="single" w:color="231F20" w:sz="8" w:space="0"/>
              <w:left w:val="nil"/>
              <w:bottom w:val="single" w:color="231F20" w:sz="8" w:space="0"/>
              <w:right w:val="single" w:color="231F20"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105" w:right="-105"/>
              <w:jc w:val="center"/>
              <w:rPr>
                <w:rFonts w:hint="eastAsia" w:ascii="微软雅黑" w:hAnsi="微软雅黑" w:eastAsia="微软雅黑" w:cs="微软雅黑"/>
                <w:sz w:val="24"/>
                <w:szCs w:val="24"/>
              </w:rPr>
            </w:pPr>
            <w:r>
              <w:rPr>
                <w:rFonts w:hint="eastAsia" w:ascii="微软雅黑" w:hAnsi="微软雅黑" w:eastAsia="微软雅黑" w:cs="微软雅黑"/>
                <w:spacing w:val="13"/>
                <w:kern w:val="0"/>
                <w:sz w:val="24"/>
                <w:szCs w:val="24"/>
                <w:lang w:val="en-US" w:eastAsia="zh-CN" w:bidi="ar"/>
              </w:rPr>
              <w:t>任务及标准</w:t>
            </w:r>
          </w:p>
        </w:tc>
        <w:tc>
          <w:tcPr>
            <w:tcW w:w="1266" w:type="dxa"/>
            <w:gridSpan w:val="2"/>
            <w:tcBorders>
              <w:top w:val="single" w:color="231F20" w:sz="8" w:space="0"/>
              <w:left w:val="nil"/>
              <w:bottom w:val="single" w:color="231F20" w:sz="8" w:space="0"/>
              <w:right w:val="single" w:color="auto" w:sz="4" w:space="0"/>
            </w:tcBorders>
            <w:shd w:val="clear" w:color="auto" w:fill="auto"/>
            <w:tcMar>
              <w:left w:w="28" w:type="dxa"/>
              <w:right w:w="2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pacing w:val="13"/>
                <w:kern w:val="0"/>
                <w:sz w:val="24"/>
                <w:szCs w:val="24"/>
                <w:lang w:val="en-US" w:eastAsia="zh-CN" w:bidi="ar"/>
              </w:rPr>
            </w:pPr>
            <w:r>
              <w:rPr>
                <w:rFonts w:hint="eastAsia" w:ascii="微软雅黑" w:hAnsi="微软雅黑" w:eastAsia="微软雅黑" w:cs="微软雅黑"/>
                <w:spacing w:val="13"/>
                <w:kern w:val="0"/>
                <w:sz w:val="24"/>
                <w:szCs w:val="24"/>
                <w:lang w:val="en-US" w:eastAsia="zh-CN" w:bidi="ar"/>
              </w:rPr>
              <w:t>牵头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z w:val="24"/>
                <w:szCs w:val="24"/>
              </w:rPr>
            </w:pPr>
            <w:r>
              <w:rPr>
                <w:rFonts w:hint="eastAsia" w:ascii="微软雅黑" w:hAnsi="微软雅黑" w:eastAsia="微软雅黑" w:cs="微软雅黑"/>
                <w:spacing w:val="13"/>
                <w:kern w:val="0"/>
                <w:sz w:val="24"/>
                <w:szCs w:val="24"/>
                <w:lang w:val="en-US" w:eastAsia="zh-CN" w:bidi="ar"/>
              </w:rPr>
              <w:t>单位</w:t>
            </w:r>
          </w:p>
        </w:tc>
        <w:tc>
          <w:tcPr>
            <w:tcW w:w="1095" w:type="dxa"/>
            <w:tcBorders>
              <w:top w:val="single" w:color="231F20" w:sz="8" w:space="0"/>
              <w:left w:val="single" w:color="auto" w:sz="4" w:space="0"/>
              <w:bottom w:val="single" w:color="231F20" w:sz="8" w:space="0"/>
              <w:right w:val="single" w:color="231F20" w:sz="8" w:space="0"/>
            </w:tcBorders>
            <w:shd w:val="clear" w:color="auto" w:fill="auto"/>
            <w:tcMar>
              <w:left w:w="28" w:type="dxa"/>
              <w:right w:w="2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pacing w:val="13"/>
                <w:kern w:val="0"/>
                <w:sz w:val="24"/>
                <w:szCs w:val="24"/>
                <w:lang w:val="en-US" w:eastAsia="zh-CN" w:bidi="ar"/>
              </w:rPr>
            </w:pPr>
            <w:r>
              <w:rPr>
                <w:rFonts w:hint="eastAsia" w:ascii="微软雅黑" w:hAnsi="微软雅黑" w:eastAsia="微软雅黑" w:cs="微软雅黑"/>
                <w:spacing w:val="13"/>
                <w:kern w:val="0"/>
                <w:sz w:val="24"/>
                <w:szCs w:val="24"/>
                <w:lang w:val="en-US" w:eastAsia="zh-CN" w:bidi="ar"/>
              </w:rPr>
              <w:t>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pacing w:val="13"/>
                <w:kern w:val="0"/>
                <w:sz w:val="24"/>
                <w:szCs w:val="24"/>
                <w:lang w:val="en-US" w:eastAsia="zh-CN" w:bidi="ar"/>
              </w:rPr>
            </w:pPr>
            <w:r>
              <w:rPr>
                <w:rFonts w:hint="eastAsia" w:ascii="微软雅黑" w:hAnsi="微软雅黑" w:eastAsia="微软雅黑" w:cs="微软雅黑"/>
                <w:spacing w:val="13"/>
                <w:kern w:val="0"/>
                <w:sz w:val="24"/>
                <w:szCs w:val="24"/>
                <w:lang w:val="en-US" w:eastAsia="zh-CN" w:bidi="ar"/>
              </w:rPr>
              <w:t>单位</w:t>
            </w:r>
          </w:p>
        </w:tc>
        <w:tc>
          <w:tcPr>
            <w:tcW w:w="1215" w:type="dxa"/>
            <w:tcBorders>
              <w:top w:val="single" w:color="231F20" w:sz="8" w:space="0"/>
              <w:left w:val="nil"/>
              <w:bottom w:val="single" w:color="231F20" w:sz="8" w:space="0"/>
              <w:right w:val="single" w:color="231F20" w:sz="8" w:space="0"/>
            </w:tcBorders>
            <w:shd w:val="clear" w:color="auto" w:fill="auto"/>
            <w:tcMar>
              <w:left w:w="28" w:type="dxa"/>
              <w:right w:w="2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pacing w:val="13"/>
                <w:kern w:val="0"/>
                <w:sz w:val="24"/>
                <w:szCs w:val="24"/>
                <w:lang w:val="en-US" w:eastAsia="zh-CN" w:bidi="ar"/>
              </w:rPr>
            </w:pPr>
            <w:r>
              <w:rPr>
                <w:rFonts w:hint="eastAsia" w:ascii="微软雅黑" w:hAnsi="微软雅黑" w:eastAsia="微软雅黑" w:cs="微软雅黑"/>
                <w:spacing w:val="13"/>
                <w:kern w:val="0"/>
                <w:sz w:val="24"/>
                <w:szCs w:val="24"/>
                <w:lang w:val="en-US" w:eastAsia="zh-CN" w:bidi="ar"/>
              </w:rPr>
              <w:t>完成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z w:val="24"/>
                <w:szCs w:val="24"/>
              </w:rPr>
            </w:pPr>
            <w:r>
              <w:rPr>
                <w:rFonts w:hint="eastAsia" w:ascii="微软雅黑" w:hAnsi="微软雅黑" w:eastAsia="微软雅黑" w:cs="微软雅黑"/>
                <w:spacing w:val="13"/>
                <w:kern w:val="0"/>
                <w:sz w:val="24"/>
                <w:szCs w:val="24"/>
                <w:lang w:val="en-US" w:eastAsia="zh-CN" w:bidi="ar"/>
              </w:rPr>
              <w:t>时限</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385" w:type="dxa"/>
          <w:trHeight w:val="1667" w:hRule="atLeast"/>
          <w:tblCellSpacing w:w="0" w:type="dxa"/>
          <w:jc w:val="center"/>
        </w:trPr>
        <w:tc>
          <w:tcPr>
            <w:tcW w:w="1129" w:type="dxa"/>
            <w:gridSpan w:val="3"/>
            <w:vMerge w:val="restart"/>
            <w:tcBorders>
              <w:top w:val="nil"/>
              <w:left w:val="single" w:color="231F20" w:sz="8" w:space="0"/>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1.普及普惠水平</w:t>
            </w:r>
          </w:p>
        </w:tc>
        <w:tc>
          <w:tcPr>
            <w:tcW w:w="1018"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1.学前教育毛入园率</w:t>
            </w:r>
          </w:p>
        </w:tc>
        <w:tc>
          <w:tcPr>
            <w:tcW w:w="2040"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1.学前教育毛入园率达到90%</w:t>
            </w:r>
          </w:p>
        </w:tc>
        <w:tc>
          <w:tcPr>
            <w:tcW w:w="6594"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全县三</w:t>
            </w:r>
            <w:r>
              <w:rPr>
                <w:rFonts w:hint="eastAsia" w:ascii="微软雅黑" w:hAnsi="微软雅黑" w:eastAsia="微软雅黑" w:cs="微软雅黑"/>
                <w:kern w:val="0"/>
                <w:sz w:val="20"/>
                <w:szCs w:val="20"/>
                <w:lang w:val="en-US" w:eastAsia="zh-CN" w:bidi="ar"/>
              </w:rPr>
              <w:fldChar w:fldCharType="begin"/>
            </w:r>
            <w:r>
              <w:rPr>
                <w:rFonts w:hint="eastAsia" w:ascii="微软雅黑" w:hAnsi="微软雅黑" w:eastAsia="微软雅黑" w:cs="微软雅黑"/>
                <w:kern w:val="0"/>
                <w:sz w:val="20"/>
                <w:szCs w:val="20"/>
                <w:lang w:val="en-US" w:eastAsia="zh-CN" w:bidi="ar"/>
              </w:rPr>
              <w:instrText xml:space="preserve">HYPERLINK "https://baike.so.com/doc/5441602-5679932.html" \t "_blank"</w:instrText>
            </w:r>
            <w:r>
              <w:rPr>
                <w:rFonts w:hint="eastAsia" w:ascii="微软雅黑" w:hAnsi="微软雅黑" w:eastAsia="微软雅黑" w:cs="微软雅黑"/>
                <w:kern w:val="0"/>
                <w:sz w:val="20"/>
                <w:szCs w:val="20"/>
                <w:lang w:val="en-US" w:eastAsia="zh-CN" w:bidi="ar"/>
              </w:rPr>
              <w:fldChar w:fldCharType="separate"/>
            </w:r>
            <w:r>
              <w:rPr>
                <w:rFonts w:hint="eastAsia" w:ascii="微软雅黑" w:hAnsi="微软雅黑" w:eastAsia="微软雅黑" w:cs="微软雅黑"/>
                <w:kern w:val="0"/>
                <w:sz w:val="20"/>
                <w:szCs w:val="20"/>
                <w:lang w:val="en-US" w:eastAsia="zh-CN" w:bidi="ar"/>
              </w:rPr>
              <w:t>周岁</w:t>
            </w:r>
            <w:r>
              <w:rPr>
                <w:rFonts w:hint="eastAsia" w:ascii="微软雅黑" w:hAnsi="微软雅黑" w:eastAsia="微软雅黑" w:cs="微软雅黑"/>
                <w:kern w:val="0"/>
                <w:sz w:val="20"/>
                <w:szCs w:val="20"/>
                <w:lang w:val="en-US" w:eastAsia="zh-CN" w:bidi="ar"/>
              </w:rPr>
              <w:fldChar w:fldCharType="end"/>
            </w:r>
            <w:r>
              <w:rPr>
                <w:rFonts w:hint="eastAsia" w:ascii="微软雅黑" w:hAnsi="微软雅黑" w:eastAsia="微软雅黑" w:cs="微软雅黑"/>
                <w:kern w:val="0"/>
                <w:sz w:val="20"/>
                <w:szCs w:val="20"/>
                <w:lang w:val="en-US" w:eastAsia="zh-CN" w:bidi="ar"/>
              </w:rPr>
              <w:t>以上六周岁以下适龄儿童入园数比例达到总数的90%以上。</w:t>
            </w:r>
          </w:p>
        </w:tc>
        <w:tc>
          <w:tcPr>
            <w:tcW w:w="1266" w:type="dxa"/>
            <w:gridSpan w:val="2"/>
            <w:tcBorders>
              <w:top w:val="nil"/>
              <w:left w:val="nil"/>
              <w:bottom w:val="single" w:color="231F20" w:sz="8" w:space="0"/>
              <w:right w:val="single" w:color="auto" w:sz="4" w:space="0"/>
            </w:tcBorders>
            <w:shd w:val="clear" w:color="auto" w:fill="auto"/>
            <w:tcMar>
              <w:left w:w="28" w:type="dxa"/>
              <w:right w:w="2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教育局</w:t>
            </w:r>
          </w:p>
        </w:tc>
        <w:tc>
          <w:tcPr>
            <w:tcW w:w="1095" w:type="dxa"/>
            <w:tcBorders>
              <w:top w:val="nil"/>
              <w:left w:val="single" w:color="auto" w:sz="4" w:space="0"/>
              <w:bottom w:val="single" w:color="231F20" w:sz="8" w:space="0"/>
              <w:right w:val="single" w:color="231F20" w:sz="8" w:space="0"/>
            </w:tcBorders>
            <w:shd w:val="clear" w:color="auto" w:fill="auto"/>
            <w:tcMar>
              <w:left w:w="28" w:type="dxa"/>
              <w:right w:w="2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公安局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卫健体局</w:t>
            </w:r>
          </w:p>
        </w:tc>
        <w:tc>
          <w:tcPr>
            <w:tcW w:w="1215" w:type="dxa"/>
            <w:tcBorders>
              <w:top w:val="nil"/>
              <w:left w:val="nil"/>
              <w:bottom w:val="single" w:color="231F20" w:sz="8" w:space="0"/>
              <w:right w:val="single" w:color="231F20" w:sz="8" w:space="0"/>
            </w:tcBorders>
            <w:shd w:val="clear" w:color="auto" w:fill="auto"/>
            <w:tcMar>
              <w:left w:w="28" w:type="dxa"/>
              <w:right w:w="2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2028年1月</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385" w:type="dxa"/>
          <w:trHeight w:val="2085" w:hRule="atLeast"/>
          <w:tblCellSpacing w:w="0" w:type="dxa"/>
          <w:jc w:val="center"/>
        </w:trPr>
        <w:tc>
          <w:tcPr>
            <w:tcW w:w="1129" w:type="dxa"/>
            <w:gridSpan w:val="3"/>
            <w:vMerge w:val="continue"/>
            <w:tcBorders>
              <w:top w:val="nil"/>
              <w:left w:val="single" w:color="231F20" w:sz="8" w:space="0"/>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1018"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2.普惠性幼儿园覆盖率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2040"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2.公办园和普惠性民办园在园幼儿占比达到80%</w:t>
            </w:r>
          </w:p>
        </w:tc>
        <w:tc>
          <w:tcPr>
            <w:tcW w:w="6594"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公办园和普惠性民办园在园幼儿比例达到县域在园幼儿总数的80%以上。</w:t>
            </w:r>
          </w:p>
        </w:tc>
        <w:tc>
          <w:tcPr>
            <w:tcW w:w="1266" w:type="dxa"/>
            <w:gridSpan w:val="2"/>
            <w:tcBorders>
              <w:top w:val="nil"/>
              <w:left w:val="nil"/>
              <w:bottom w:val="single" w:color="231F20" w:sz="8" w:space="0"/>
              <w:right w:val="single" w:color="auto" w:sz="4" w:space="0"/>
            </w:tcBorders>
            <w:shd w:val="clear" w:color="auto" w:fill="auto"/>
            <w:tcMar>
              <w:left w:w="28" w:type="dxa"/>
              <w:right w:w="2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教育局</w:t>
            </w:r>
          </w:p>
        </w:tc>
        <w:tc>
          <w:tcPr>
            <w:tcW w:w="1095" w:type="dxa"/>
            <w:tcBorders>
              <w:top w:val="nil"/>
              <w:left w:val="single" w:color="auto" w:sz="4" w:space="0"/>
              <w:bottom w:val="single" w:color="231F20" w:sz="8" w:space="0"/>
              <w:right w:val="single" w:color="231F20" w:sz="8" w:space="0"/>
            </w:tcBorders>
            <w:shd w:val="clear" w:color="auto" w:fill="auto"/>
            <w:tcMar>
              <w:left w:w="28" w:type="dxa"/>
              <w:right w:w="2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财政局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发改局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行政审批局</w:t>
            </w:r>
          </w:p>
        </w:tc>
        <w:tc>
          <w:tcPr>
            <w:tcW w:w="1215" w:type="dxa"/>
            <w:tcBorders>
              <w:top w:val="nil"/>
              <w:left w:val="nil"/>
              <w:bottom w:val="single" w:color="231F20" w:sz="8" w:space="0"/>
              <w:right w:val="single" w:color="231F20" w:sz="8" w:space="0"/>
            </w:tcBorders>
            <w:shd w:val="clear" w:color="auto" w:fill="auto"/>
            <w:tcMar>
              <w:left w:w="28" w:type="dxa"/>
              <w:right w:w="2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2028年4月</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385" w:type="dxa"/>
          <w:trHeight w:val="2349" w:hRule="atLeast"/>
          <w:tblCellSpacing w:w="0" w:type="dxa"/>
          <w:jc w:val="center"/>
        </w:trPr>
        <w:tc>
          <w:tcPr>
            <w:tcW w:w="1129" w:type="dxa"/>
            <w:gridSpan w:val="3"/>
            <w:vMerge w:val="continue"/>
            <w:tcBorders>
              <w:top w:val="nil"/>
              <w:left w:val="single" w:color="231F20" w:sz="8" w:space="0"/>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1018"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3.公办园在园幼儿占比</w:t>
            </w:r>
          </w:p>
        </w:tc>
        <w:tc>
          <w:tcPr>
            <w:tcW w:w="2040"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3.公办园在园幼儿占比达到55%</w:t>
            </w:r>
          </w:p>
        </w:tc>
        <w:tc>
          <w:tcPr>
            <w:tcW w:w="6594"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公办园在园幼儿达到县域在园幼儿总数的55%以上。</w:t>
            </w:r>
          </w:p>
        </w:tc>
        <w:tc>
          <w:tcPr>
            <w:tcW w:w="1266" w:type="dxa"/>
            <w:gridSpan w:val="2"/>
            <w:tcBorders>
              <w:top w:val="nil"/>
              <w:left w:val="nil"/>
              <w:bottom w:val="single" w:color="231F20" w:sz="8" w:space="0"/>
              <w:right w:val="single" w:color="auto" w:sz="4" w:space="0"/>
            </w:tcBorders>
            <w:shd w:val="clear" w:color="auto" w:fill="auto"/>
            <w:tcMar>
              <w:left w:w="28" w:type="dxa"/>
              <w:right w:w="2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教育局</w:t>
            </w:r>
          </w:p>
        </w:tc>
        <w:tc>
          <w:tcPr>
            <w:tcW w:w="1095" w:type="dxa"/>
            <w:tcBorders>
              <w:top w:val="nil"/>
              <w:left w:val="single" w:color="auto" w:sz="4" w:space="0"/>
              <w:bottom w:val="single" w:color="231F20" w:sz="8" w:space="0"/>
              <w:right w:val="single" w:color="231F20" w:sz="8" w:space="0"/>
            </w:tcBorders>
            <w:shd w:val="clear" w:color="auto" w:fill="auto"/>
            <w:tcMar>
              <w:left w:w="28" w:type="dxa"/>
              <w:right w:w="2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发改局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住建局</w:t>
            </w:r>
          </w:p>
        </w:tc>
        <w:tc>
          <w:tcPr>
            <w:tcW w:w="1215" w:type="dxa"/>
            <w:tcBorders>
              <w:top w:val="nil"/>
              <w:left w:val="nil"/>
              <w:bottom w:val="single" w:color="231F20" w:sz="8" w:space="0"/>
              <w:right w:val="single" w:color="231F20" w:sz="8" w:space="0"/>
            </w:tcBorders>
            <w:shd w:val="clear" w:color="auto" w:fill="auto"/>
            <w:tcMar>
              <w:left w:w="28" w:type="dxa"/>
              <w:right w:w="2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2028年4月</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385" w:type="dxa"/>
          <w:trHeight w:val="405" w:hRule="atLeast"/>
          <w:tblCellSpacing w:w="0" w:type="dxa"/>
          <w:jc w:val="center"/>
        </w:trPr>
        <w:tc>
          <w:tcPr>
            <w:tcW w:w="1129" w:type="dxa"/>
            <w:gridSpan w:val="3"/>
            <w:tcBorders>
              <w:top w:val="nil"/>
              <w:left w:val="single" w:color="231F20" w:sz="8" w:space="0"/>
              <w:bottom w:val="single" w:color="231F20" w:sz="8" w:space="0"/>
              <w:right w:val="single" w:color="231F20"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105" w:right="-105"/>
              <w:jc w:val="center"/>
              <w:rPr>
                <w:rFonts w:hint="eastAsia" w:ascii="微软雅黑" w:hAnsi="微软雅黑" w:eastAsia="微软雅黑" w:cs="微软雅黑"/>
                <w:sz w:val="24"/>
                <w:szCs w:val="24"/>
              </w:rPr>
            </w:pPr>
            <w:r>
              <w:rPr>
                <w:rFonts w:hint="eastAsia" w:ascii="微软雅黑" w:hAnsi="微软雅黑" w:eastAsia="微软雅黑" w:cs="微软雅黑"/>
                <w:spacing w:val="13"/>
                <w:kern w:val="0"/>
                <w:sz w:val="24"/>
                <w:szCs w:val="24"/>
                <w:lang w:val="en-US" w:eastAsia="zh-CN" w:bidi="ar"/>
              </w:rPr>
              <w:t>一级指标</w:t>
            </w:r>
          </w:p>
        </w:tc>
        <w:tc>
          <w:tcPr>
            <w:tcW w:w="1018"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105" w:right="-105"/>
              <w:jc w:val="center"/>
              <w:rPr>
                <w:rFonts w:hint="eastAsia" w:ascii="微软雅黑" w:hAnsi="微软雅黑" w:eastAsia="微软雅黑" w:cs="微软雅黑"/>
                <w:sz w:val="24"/>
                <w:szCs w:val="24"/>
              </w:rPr>
            </w:pPr>
            <w:r>
              <w:rPr>
                <w:rFonts w:hint="eastAsia" w:ascii="微软雅黑" w:hAnsi="微软雅黑" w:eastAsia="微软雅黑" w:cs="微软雅黑"/>
                <w:spacing w:val="13"/>
                <w:kern w:val="0"/>
                <w:sz w:val="24"/>
                <w:szCs w:val="24"/>
                <w:lang w:val="en-US" w:eastAsia="zh-CN" w:bidi="ar"/>
              </w:rPr>
              <w:t>二级指标</w:t>
            </w:r>
          </w:p>
        </w:tc>
        <w:tc>
          <w:tcPr>
            <w:tcW w:w="2040"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105" w:right="-105"/>
              <w:jc w:val="center"/>
              <w:rPr>
                <w:rFonts w:hint="eastAsia" w:ascii="微软雅黑" w:hAnsi="微软雅黑" w:eastAsia="微软雅黑" w:cs="微软雅黑"/>
                <w:sz w:val="24"/>
                <w:szCs w:val="24"/>
              </w:rPr>
            </w:pPr>
            <w:r>
              <w:rPr>
                <w:rFonts w:hint="eastAsia" w:ascii="微软雅黑" w:hAnsi="微软雅黑" w:eastAsia="微软雅黑" w:cs="微软雅黑"/>
                <w:spacing w:val="13"/>
                <w:kern w:val="0"/>
                <w:sz w:val="24"/>
                <w:szCs w:val="24"/>
                <w:lang w:val="en-US" w:eastAsia="zh-CN" w:bidi="ar"/>
              </w:rPr>
              <w:t>三级指标</w:t>
            </w:r>
          </w:p>
        </w:tc>
        <w:tc>
          <w:tcPr>
            <w:tcW w:w="6594"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105" w:right="-105"/>
              <w:jc w:val="center"/>
              <w:rPr>
                <w:rFonts w:hint="eastAsia" w:ascii="微软雅黑" w:hAnsi="微软雅黑" w:eastAsia="微软雅黑" w:cs="微软雅黑"/>
                <w:sz w:val="24"/>
                <w:szCs w:val="24"/>
              </w:rPr>
            </w:pPr>
            <w:r>
              <w:rPr>
                <w:rFonts w:hint="eastAsia" w:ascii="微软雅黑" w:hAnsi="微软雅黑" w:eastAsia="微软雅黑" w:cs="微软雅黑"/>
                <w:spacing w:val="13"/>
                <w:kern w:val="0"/>
                <w:sz w:val="24"/>
                <w:szCs w:val="24"/>
                <w:lang w:val="en-US" w:eastAsia="zh-CN" w:bidi="ar"/>
              </w:rPr>
              <w:t>任务及标准</w:t>
            </w:r>
          </w:p>
        </w:tc>
        <w:tc>
          <w:tcPr>
            <w:tcW w:w="1266" w:type="dxa"/>
            <w:gridSpan w:val="2"/>
            <w:tcBorders>
              <w:top w:val="nil"/>
              <w:left w:val="nil"/>
              <w:bottom w:val="single" w:color="231F20" w:sz="8"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pacing w:val="13"/>
                <w:kern w:val="0"/>
                <w:sz w:val="24"/>
                <w:szCs w:val="24"/>
                <w:lang w:val="en-US" w:eastAsia="zh-CN" w:bidi="ar"/>
              </w:rPr>
            </w:pPr>
            <w:r>
              <w:rPr>
                <w:rFonts w:hint="eastAsia" w:ascii="微软雅黑" w:hAnsi="微软雅黑" w:eastAsia="微软雅黑" w:cs="微软雅黑"/>
                <w:spacing w:val="13"/>
                <w:kern w:val="0"/>
                <w:sz w:val="24"/>
                <w:szCs w:val="24"/>
                <w:lang w:val="en-US" w:eastAsia="zh-CN" w:bidi="ar"/>
              </w:rPr>
              <w:t>牵头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z w:val="24"/>
                <w:szCs w:val="24"/>
              </w:rPr>
            </w:pPr>
            <w:r>
              <w:rPr>
                <w:rFonts w:hint="eastAsia" w:ascii="微软雅黑" w:hAnsi="微软雅黑" w:eastAsia="微软雅黑" w:cs="微软雅黑"/>
                <w:spacing w:val="13"/>
                <w:kern w:val="0"/>
                <w:sz w:val="24"/>
                <w:szCs w:val="24"/>
                <w:lang w:val="en-US" w:eastAsia="zh-CN" w:bidi="ar"/>
              </w:rPr>
              <w:t>单位</w:t>
            </w:r>
          </w:p>
        </w:tc>
        <w:tc>
          <w:tcPr>
            <w:tcW w:w="1095" w:type="dxa"/>
            <w:tcBorders>
              <w:top w:val="nil"/>
              <w:left w:val="single" w:color="auto" w:sz="4" w:space="0"/>
              <w:bottom w:val="single" w:color="231F20" w:sz="8" w:space="0"/>
              <w:right w:val="single" w:color="231F20" w:sz="8"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pacing w:val="13"/>
                <w:kern w:val="0"/>
                <w:sz w:val="24"/>
                <w:szCs w:val="24"/>
                <w:lang w:val="en-US" w:eastAsia="zh-CN" w:bidi="ar"/>
              </w:rPr>
            </w:pPr>
            <w:r>
              <w:rPr>
                <w:rFonts w:hint="eastAsia" w:ascii="微软雅黑" w:hAnsi="微软雅黑" w:eastAsia="微软雅黑" w:cs="微软雅黑"/>
                <w:spacing w:val="13"/>
                <w:kern w:val="0"/>
                <w:sz w:val="24"/>
                <w:szCs w:val="24"/>
                <w:lang w:val="en-US" w:eastAsia="zh-CN" w:bidi="ar"/>
              </w:rPr>
              <w:t>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pacing w:val="13"/>
                <w:kern w:val="0"/>
                <w:sz w:val="24"/>
                <w:szCs w:val="24"/>
                <w:lang w:val="en-US" w:eastAsia="zh-CN" w:bidi="ar"/>
              </w:rPr>
            </w:pPr>
            <w:r>
              <w:rPr>
                <w:rFonts w:hint="eastAsia" w:ascii="微软雅黑" w:hAnsi="微软雅黑" w:eastAsia="微软雅黑" w:cs="微软雅黑"/>
                <w:spacing w:val="13"/>
                <w:kern w:val="0"/>
                <w:sz w:val="24"/>
                <w:szCs w:val="24"/>
                <w:lang w:val="en-US" w:eastAsia="zh-CN" w:bidi="ar"/>
              </w:rPr>
              <w:t>单位</w:t>
            </w:r>
          </w:p>
        </w:tc>
        <w:tc>
          <w:tcPr>
            <w:tcW w:w="1215" w:type="dxa"/>
            <w:tcBorders>
              <w:top w:val="nil"/>
              <w:left w:val="nil"/>
              <w:bottom w:val="single" w:color="231F20" w:sz="8" w:space="0"/>
              <w:right w:val="single" w:color="231F20" w:sz="8"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pacing w:val="13"/>
                <w:kern w:val="0"/>
                <w:sz w:val="24"/>
                <w:szCs w:val="24"/>
                <w:lang w:val="en-US" w:eastAsia="zh-CN" w:bidi="ar"/>
              </w:rPr>
            </w:pPr>
            <w:r>
              <w:rPr>
                <w:rFonts w:hint="eastAsia" w:ascii="微软雅黑" w:hAnsi="微软雅黑" w:eastAsia="微软雅黑" w:cs="微软雅黑"/>
                <w:spacing w:val="13"/>
                <w:kern w:val="0"/>
                <w:sz w:val="24"/>
                <w:szCs w:val="24"/>
                <w:lang w:val="en-US" w:eastAsia="zh-CN" w:bidi="ar"/>
              </w:rPr>
              <w:t>完成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z w:val="24"/>
                <w:szCs w:val="24"/>
              </w:rPr>
            </w:pPr>
            <w:r>
              <w:rPr>
                <w:rFonts w:hint="eastAsia" w:ascii="微软雅黑" w:hAnsi="微软雅黑" w:eastAsia="微软雅黑" w:cs="微软雅黑"/>
                <w:spacing w:val="13"/>
                <w:kern w:val="0"/>
                <w:sz w:val="24"/>
                <w:szCs w:val="24"/>
                <w:lang w:val="en-US" w:eastAsia="zh-CN" w:bidi="ar"/>
              </w:rPr>
              <w:t>时限</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385" w:type="dxa"/>
          <w:trHeight w:val="1155" w:hRule="atLeast"/>
          <w:tblCellSpacing w:w="0" w:type="dxa"/>
          <w:jc w:val="center"/>
        </w:trPr>
        <w:tc>
          <w:tcPr>
            <w:tcW w:w="1129" w:type="dxa"/>
            <w:gridSpan w:val="3"/>
            <w:vMerge w:val="restart"/>
            <w:tcBorders>
              <w:top w:val="nil"/>
              <w:left w:val="single" w:color="231F20" w:sz="8" w:space="0"/>
              <w:bottom w:val="single" w:color="auto" w:sz="8" w:space="0"/>
              <w:right w:val="single" w:color="231F20" w:sz="8" w:space="0"/>
            </w:tcBorders>
            <w:shd w:val="clear" w:color="auto" w:fill="auto"/>
            <w:tcMar>
              <w:left w:w="57" w:type="dxa"/>
              <w:right w:w="57"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68" w:right="0" w:hanging="68"/>
              <w:jc w:val="both"/>
              <w:textAlignment w:val="auto"/>
              <w:rPr>
                <w:rFonts w:hint="eastAsia" w:ascii="微软雅黑" w:hAnsi="微软雅黑" w:eastAsia="微软雅黑" w:cs="微软雅黑"/>
                <w:sz w:val="24"/>
                <w:szCs w:val="24"/>
              </w:rPr>
            </w:pPr>
            <w:r>
              <w:rPr>
                <w:rFonts w:hint="eastAsia" w:ascii="微软雅黑" w:hAnsi="微软雅黑" w:eastAsia="微软雅黑" w:cs="微软雅黑"/>
                <w:kern w:val="0"/>
                <w:sz w:val="20"/>
                <w:szCs w:val="20"/>
                <w:lang w:val="en-US" w:eastAsia="zh-CN" w:bidi="ar"/>
              </w:rPr>
              <w:t>2.政府保障情况</w:t>
            </w:r>
          </w:p>
        </w:tc>
        <w:tc>
          <w:tcPr>
            <w:tcW w:w="1018" w:type="dxa"/>
            <w:vMerge w:val="restart"/>
            <w:tcBorders>
              <w:top w:val="nil"/>
              <w:left w:val="nil"/>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4.党的领导坚强有力</w:t>
            </w:r>
          </w:p>
        </w:tc>
        <w:tc>
          <w:tcPr>
            <w:tcW w:w="2040" w:type="dxa"/>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4.幼儿园党的组织和党的工作实现全覆盖。</w:t>
            </w:r>
          </w:p>
        </w:tc>
        <w:tc>
          <w:tcPr>
            <w:tcW w:w="6594" w:type="dxa"/>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1.有3名以上正式党员的幼儿园（含民办），单独建立党组织；2.党员人数不足3人的，建立联合党组织或挂靠乡镇（街道）、村（社区）党组织；3.没有党员的，配备党员教师或党建指导员。</w:t>
            </w:r>
          </w:p>
        </w:tc>
        <w:tc>
          <w:tcPr>
            <w:tcW w:w="1266" w:type="dxa"/>
            <w:gridSpan w:val="2"/>
            <w:tcBorders>
              <w:top w:val="nil"/>
              <w:left w:val="nil"/>
              <w:bottom w:val="single" w:color="auto" w:sz="8"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教育局</w:t>
            </w:r>
          </w:p>
        </w:tc>
        <w:tc>
          <w:tcPr>
            <w:tcW w:w="1095" w:type="dxa"/>
            <w:tcBorders>
              <w:top w:val="nil"/>
              <w:left w:val="single" w:color="auto" w:sz="4" w:space="0"/>
              <w:bottom w:val="single" w:color="auto" w:sz="8" w:space="0"/>
              <w:right w:val="single" w:color="231F20" w:sz="8"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0" w:firstLine="200" w:firstLineChars="100"/>
              <w:jc w:val="both"/>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各乡镇</w:t>
            </w:r>
          </w:p>
        </w:tc>
        <w:tc>
          <w:tcPr>
            <w:tcW w:w="1215" w:type="dxa"/>
            <w:tcBorders>
              <w:top w:val="nil"/>
              <w:left w:val="nil"/>
              <w:bottom w:val="single" w:color="auto" w:sz="8" w:space="0"/>
              <w:right w:val="single" w:color="231F20" w:sz="8"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2026年2月</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385" w:type="dxa"/>
          <w:trHeight w:val="1831" w:hRule="atLeast"/>
          <w:tblCellSpacing w:w="0" w:type="dxa"/>
          <w:jc w:val="center"/>
        </w:trPr>
        <w:tc>
          <w:tcPr>
            <w:tcW w:w="1129" w:type="dxa"/>
            <w:gridSpan w:val="3"/>
            <w:vMerge w:val="continue"/>
            <w:tcBorders>
              <w:top w:val="nil"/>
              <w:left w:val="single" w:color="231F20" w:sz="8" w:space="0"/>
              <w:bottom w:val="single" w:color="auto" w:sz="8" w:space="0"/>
              <w:right w:val="single" w:color="231F20" w:sz="8" w:space="0"/>
            </w:tcBorders>
            <w:shd w:val="clear" w:color="auto" w:fill="auto"/>
            <w:tcMar>
              <w:left w:w="57" w:type="dxa"/>
              <w:right w:w="57" w:type="dxa"/>
            </w:tcMar>
            <w:vAlign w:val="center"/>
          </w:tcPr>
          <w:p>
            <w:pPr>
              <w:rPr>
                <w:rFonts w:hint="eastAsia" w:ascii="微软雅黑" w:hAnsi="微软雅黑" w:eastAsia="微软雅黑" w:cs="微软雅黑"/>
                <w:sz w:val="24"/>
                <w:szCs w:val="24"/>
              </w:rPr>
            </w:pPr>
          </w:p>
        </w:tc>
        <w:tc>
          <w:tcPr>
            <w:tcW w:w="1018" w:type="dxa"/>
            <w:vMerge w:val="continue"/>
            <w:tcBorders>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2040"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5.县委、县政府加强对学前教育事业领导，落实发展学前教育的主体责任。</w:t>
            </w:r>
          </w:p>
        </w:tc>
        <w:tc>
          <w:tcPr>
            <w:tcW w:w="6594"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1.出台促进学前教育改革发展的政策及相关配套政策、规划等文件；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2.落实发展学前教育主体责任，理顺学前教育管理体制，明确县、乡镇政府职责的相关文件（文件名称、文号、落实情况等)；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3.成立学前教育工作领导小组或学前教育联席会议制度情况（文件名称、文号、参与部门、解决的主要问题等)。</w:t>
            </w:r>
          </w:p>
        </w:tc>
        <w:tc>
          <w:tcPr>
            <w:tcW w:w="1266" w:type="dxa"/>
            <w:gridSpan w:val="2"/>
            <w:tcBorders>
              <w:top w:val="nil"/>
              <w:left w:val="nil"/>
              <w:bottom w:val="single" w:color="231F20" w:sz="8"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县委办</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政府办</w:t>
            </w:r>
          </w:p>
        </w:tc>
        <w:tc>
          <w:tcPr>
            <w:tcW w:w="1095" w:type="dxa"/>
            <w:tcBorders>
              <w:top w:val="nil"/>
              <w:left w:val="single" w:color="auto" w:sz="4" w:space="0"/>
              <w:bottom w:val="single" w:color="231F20" w:sz="8" w:space="0"/>
              <w:right w:val="single" w:color="231F20" w:sz="8"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教育局</w:t>
            </w:r>
          </w:p>
        </w:tc>
        <w:tc>
          <w:tcPr>
            <w:tcW w:w="1215" w:type="dxa"/>
            <w:tcBorders>
              <w:top w:val="nil"/>
              <w:left w:val="nil"/>
              <w:bottom w:val="single" w:color="231F20" w:sz="8" w:space="0"/>
              <w:right w:val="single" w:color="231F20" w:sz="8"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长  期</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385" w:type="dxa"/>
          <w:trHeight w:val="750" w:hRule="atLeast"/>
          <w:tblCellSpacing w:w="0" w:type="dxa"/>
          <w:jc w:val="center"/>
        </w:trPr>
        <w:tc>
          <w:tcPr>
            <w:tcW w:w="1129" w:type="dxa"/>
            <w:gridSpan w:val="3"/>
            <w:vMerge w:val="continue"/>
            <w:tcBorders>
              <w:top w:val="nil"/>
              <w:left w:val="single" w:color="231F20" w:sz="8" w:space="0"/>
              <w:bottom w:val="single" w:color="auto" w:sz="8" w:space="0"/>
              <w:right w:val="single" w:color="231F20" w:sz="8" w:space="0"/>
            </w:tcBorders>
            <w:shd w:val="clear" w:color="auto" w:fill="auto"/>
            <w:tcMar>
              <w:left w:w="57" w:type="dxa"/>
              <w:right w:w="57" w:type="dxa"/>
            </w:tcMar>
            <w:vAlign w:val="center"/>
          </w:tcPr>
          <w:p>
            <w:pPr>
              <w:rPr>
                <w:rFonts w:hint="eastAsia" w:ascii="微软雅黑" w:hAnsi="微软雅黑" w:eastAsia="微软雅黑" w:cs="微软雅黑"/>
                <w:sz w:val="24"/>
                <w:szCs w:val="24"/>
              </w:rPr>
            </w:pPr>
          </w:p>
        </w:tc>
        <w:tc>
          <w:tcPr>
            <w:tcW w:w="1018" w:type="dxa"/>
            <w:vMerge w:val="restart"/>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5.发展规划科学合理</w:t>
            </w:r>
          </w:p>
        </w:tc>
        <w:tc>
          <w:tcPr>
            <w:tcW w:w="2040"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6.合理制定幼儿园总体布局规划报本级人民政府批准实施</w:t>
            </w:r>
          </w:p>
        </w:tc>
        <w:tc>
          <w:tcPr>
            <w:tcW w:w="6594"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1.城乡规划委员会成员名单（文件名称、文号)；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2.制定学前教育发展规划和幼儿园总体布局规划（文件名称、文号）及实施情况；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3.学前教育发展规划和幼儿园总体布局规划及向社会公布情况；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4.幼儿园布点分布图。</w:t>
            </w:r>
          </w:p>
        </w:tc>
        <w:tc>
          <w:tcPr>
            <w:tcW w:w="1266" w:type="dxa"/>
            <w:gridSpan w:val="2"/>
            <w:tcBorders>
              <w:top w:val="nil"/>
              <w:left w:val="nil"/>
              <w:bottom w:val="single" w:color="231F20" w:sz="8"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自然资源局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p>
        </w:tc>
        <w:tc>
          <w:tcPr>
            <w:tcW w:w="1095" w:type="dxa"/>
            <w:tcBorders>
              <w:top w:val="nil"/>
              <w:left w:val="single" w:color="auto" w:sz="4" w:space="0"/>
              <w:bottom w:val="single" w:color="231F20" w:sz="8" w:space="0"/>
              <w:right w:val="single" w:color="231F20" w:sz="8"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 xml:space="preserve">教育局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p>
        </w:tc>
        <w:tc>
          <w:tcPr>
            <w:tcW w:w="1215" w:type="dxa"/>
            <w:tcBorders>
              <w:top w:val="nil"/>
              <w:left w:val="nil"/>
              <w:bottom w:val="single" w:color="231F20" w:sz="8" w:space="0"/>
              <w:right w:val="single" w:color="231F20" w:sz="8"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2025年3月</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385" w:type="dxa"/>
          <w:trHeight w:val="90" w:hRule="atLeast"/>
          <w:tblCellSpacing w:w="0" w:type="dxa"/>
          <w:jc w:val="center"/>
        </w:trPr>
        <w:tc>
          <w:tcPr>
            <w:tcW w:w="1129" w:type="dxa"/>
            <w:gridSpan w:val="3"/>
            <w:vMerge w:val="continue"/>
            <w:tcBorders>
              <w:top w:val="nil"/>
              <w:left w:val="single" w:color="231F20" w:sz="8" w:space="0"/>
              <w:bottom w:val="single" w:color="auto" w:sz="8" w:space="0"/>
              <w:right w:val="single" w:color="231F20" w:sz="8" w:space="0"/>
            </w:tcBorders>
            <w:shd w:val="clear" w:color="auto" w:fill="auto"/>
            <w:tcMar>
              <w:left w:w="57" w:type="dxa"/>
              <w:right w:w="57" w:type="dxa"/>
            </w:tcMar>
            <w:vAlign w:val="center"/>
          </w:tcPr>
          <w:p>
            <w:pPr>
              <w:rPr>
                <w:rFonts w:hint="eastAsia" w:ascii="微软雅黑" w:hAnsi="微软雅黑" w:eastAsia="微软雅黑" w:cs="微软雅黑"/>
                <w:sz w:val="24"/>
                <w:szCs w:val="24"/>
              </w:rPr>
            </w:pPr>
          </w:p>
        </w:tc>
        <w:tc>
          <w:tcPr>
            <w:tcW w:w="1018" w:type="dxa"/>
            <w:vMerge w:val="continue"/>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2040" w:type="dxa"/>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7.把普惠性幼儿园建设纳入城乡公共管理和公共服务设施统一规划，列入本地区控制性详细规划。</w:t>
            </w:r>
          </w:p>
        </w:tc>
        <w:tc>
          <w:tcPr>
            <w:tcW w:w="6594" w:type="dxa"/>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1.制定普惠性幼儿园城乡公共管理和公共服务设施统一规划，列入本地区控制性详细规划情况的文件；2.公办幼儿园准备建设情况；3.新建居住区配套幼儿园建设情况。</w:t>
            </w:r>
          </w:p>
        </w:tc>
        <w:tc>
          <w:tcPr>
            <w:tcW w:w="1266" w:type="dxa"/>
            <w:gridSpan w:val="2"/>
            <w:tcBorders>
              <w:top w:val="nil"/>
              <w:left w:val="nil"/>
              <w:bottom w:val="single" w:color="auto" w:sz="8"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 xml:space="preserve"> 自然资源局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p>
        </w:tc>
        <w:tc>
          <w:tcPr>
            <w:tcW w:w="1095" w:type="dxa"/>
            <w:tcBorders>
              <w:top w:val="nil"/>
              <w:left w:val="single" w:color="auto" w:sz="4" w:space="0"/>
              <w:bottom w:val="single" w:color="auto" w:sz="8" w:space="0"/>
              <w:right w:val="single" w:color="231F20" w:sz="8"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 xml:space="preserve"> 教育局</w:t>
            </w:r>
          </w:p>
        </w:tc>
        <w:tc>
          <w:tcPr>
            <w:tcW w:w="1215" w:type="dxa"/>
            <w:tcBorders>
              <w:top w:val="nil"/>
              <w:left w:val="nil"/>
              <w:bottom w:val="single" w:color="auto" w:sz="8" w:space="0"/>
              <w:right w:val="single" w:color="231F20" w:sz="8"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2025年3月</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385" w:type="dxa"/>
          <w:trHeight w:val="1575" w:hRule="atLeast"/>
          <w:tblCellSpacing w:w="0" w:type="dxa"/>
          <w:jc w:val="center"/>
        </w:trPr>
        <w:tc>
          <w:tcPr>
            <w:tcW w:w="1129" w:type="dxa"/>
            <w:gridSpan w:val="3"/>
            <w:vMerge w:val="continue"/>
            <w:tcBorders>
              <w:top w:val="nil"/>
              <w:left w:val="single" w:color="231F20" w:sz="8" w:space="0"/>
              <w:bottom w:val="single" w:color="auto" w:sz="8" w:space="0"/>
              <w:right w:val="single" w:color="231F20" w:sz="8" w:space="0"/>
            </w:tcBorders>
            <w:shd w:val="clear" w:color="auto" w:fill="auto"/>
            <w:tcMar>
              <w:left w:w="57" w:type="dxa"/>
              <w:right w:w="57" w:type="dxa"/>
            </w:tcMar>
            <w:vAlign w:val="center"/>
          </w:tcPr>
          <w:p>
            <w:pPr>
              <w:rPr>
                <w:rFonts w:hint="eastAsia" w:ascii="微软雅黑" w:hAnsi="微软雅黑" w:eastAsia="微软雅黑" w:cs="微软雅黑"/>
                <w:sz w:val="24"/>
                <w:szCs w:val="24"/>
              </w:rPr>
            </w:pPr>
          </w:p>
        </w:tc>
        <w:tc>
          <w:tcPr>
            <w:tcW w:w="1018" w:type="dxa"/>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6.学前教育公共服务网络基本完善</w:t>
            </w:r>
          </w:p>
        </w:tc>
        <w:tc>
          <w:tcPr>
            <w:tcW w:w="2040" w:type="dxa"/>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8.农村地区每个乡镇至少有一所公办中心园，大村（人口相对集中的村）独立建园或设分园，小村联合办园。</w:t>
            </w:r>
          </w:p>
        </w:tc>
        <w:tc>
          <w:tcPr>
            <w:tcW w:w="6594" w:type="dxa"/>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1.根据人口变化和城镇化发展趋势，结合乡村振兴战略，科学制定幼儿园布局专项规划；2.实施镇村一体化管理模式情况（文件、实施过程、效果）。3. 农村地区每个乡镇至少有1所公办中心园；大村独立建园或设分园，小村联合办园。</w:t>
            </w:r>
          </w:p>
        </w:tc>
        <w:tc>
          <w:tcPr>
            <w:tcW w:w="1266" w:type="dxa"/>
            <w:gridSpan w:val="2"/>
            <w:tcBorders>
              <w:top w:val="nil"/>
              <w:left w:val="nil"/>
              <w:bottom w:val="single" w:color="auto" w:sz="8"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各乡镇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p>
        </w:tc>
        <w:tc>
          <w:tcPr>
            <w:tcW w:w="1095" w:type="dxa"/>
            <w:tcBorders>
              <w:top w:val="nil"/>
              <w:left w:val="single" w:color="auto" w:sz="4" w:space="0"/>
              <w:bottom w:val="single" w:color="auto" w:sz="8" w:space="0"/>
              <w:right w:val="single" w:color="231F20" w:sz="8"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自然资源局教育局</w:t>
            </w:r>
          </w:p>
        </w:tc>
        <w:tc>
          <w:tcPr>
            <w:tcW w:w="1215" w:type="dxa"/>
            <w:tcBorders>
              <w:top w:val="nil"/>
              <w:left w:val="nil"/>
              <w:bottom w:val="single" w:color="auto" w:sz="8" w:space="0"/>
              <w:right w:val="single" w:color="231F20" w:sz="8"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2026年3月</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385" w:type="dxa"/>
          <w:trHeight w:val="405" w:hRule="atLeast"/>
          <w:tblCellSpacing w:w="0" w:type="dxa"/>
          <w:jc w:val="center"/>
        </w:trPr>
        <w:tc>
          <w:tcPr>
            <w:tcW w:w="1129" w:type="dxa"/>
            <w:gridSpan w:val="3"/>
            <w:tcBorders>
              <w:top w:val="nil"/>
              <w:left w:val="single" w:color="231F20" w:sz="8" w:space="0"/>
              <w:bottom w:val="single" w:color="231F20" w:sz="8" w:space="0"/>
              <w:right w:val="single" w:color="231F20"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105" w:right="-105"/>
              <w:jc w:val="center"/>
              <w:rPr>
                <w:rFonts w:hint="eastAsia" w:ascii="微软雅黑" w:hAnsi="微软雅黑" w:eastAsia="微软雅黑" w:cs="微软雅黑"/>
                <w:sz w:val="24"/>
                <w:szCs w:val="24"/>
              </w:rPr>
            </w:pPr>
            <w:r>
              <w:rPr>
                <w:rFonts w:hint="eastAsia" w:ascii="微软雅黑" w:hAnsi="微软雅黑" w:eastAsia="微软雅黑" w:cs="微软雅黑"/>
                <w:spacing w:val="13"/>
                <w:kern w:val="0"/>
                <w:sz w:val="24"/>
                <w:szCs w:val="24"/>
                <w:lang w:val="en-US" w:eastAsia="zh-CN" w:bidi="ar"/>
              </w:rPr>
              <w:t>一级指标</w:t>
            </w:r>
          </w:p>
        </w:tc>
        <w:tc>
          <w:tcPr>
            <w:tcW w:w="1018"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105" w:right="-105"/>
              <w:jc w:val="center"/>
              <w:rPr>
                <w:rFonts w:hint="eastAsia" w:ascii="微软雅黑" w:hAnsi="微软雅黑" w:eastAsia="微软雅黑" w:cs="微软雅黑"/>
                <w:sz w:val="24"/>
                <w:szCs w:val="24"/>
              </w:rPr>
            </w:pPr>
            <w:r>
              <w:rPr>
                <w:rFonts w:hint="eastAsia" w:ascii="微软雅黑" w:hAnsi="微软雅黑" w:eastAsia="微软雅黑" w:cs="微软雅黑"/>
                <w:spacing w:val="13"/>
                <w:kern w:val="0"/>
                <w:sz w:val="24"/>
                <w:szCs w:val="24"/>
                <w:lang w:val="en-US" w:eastAsia="zh-CN" w:bidi="ar"/>
              </w:rPr>
              <w:t>二级指标</w:t>
            </w:r>
          </w:p>
        </w:tc>
        <w:tc>
          <w:tcPr>
            <w:tcW w:w="2040"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105" w:right="-105"/>
              <w:jc w:val="center"/>
              <w:rPr>
                <w:rFonts w:hint="eastAsia" w:ascii="微软雅黑" w:hAnsi="微软雅黑" w:eastAsia="微软雅黑" w:cs="微软雅黑"/>
                <w:sz w:val="24"/>
                <w:szCs w:val="24"/>
              </w:rPr>
            </w:pPr>
            <w:r>
              <w:rPr>
                <w:rFonts w:hint="eastAsia" w:ascii="微软雅黑" w:hAnsi="微软雅黑" w:eastAsia="微软雅黑" w:cs="微软雅黑"/>
                <w:spacing w:val="13"/>
                <w:kern w:val="0"/>
                <w:sz w:val="24"/>
                <w:szCs w:val="24"/>
                <w:lang w:val="en-US" w:eastAsia="zh-CN" w:bidi="ar"/>
              </w:rPr>
              <w:t>三级指标</w:t>
            </w:r>
          </w:p>
        </w:tc>
        <w:tc>
          <w:tcPr>
            <w:tcW w:w="6594"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105" w:right="-105"/>
              <w:jc w:val="center"/>
              <w:rPr>
                <w:rFonts w:hint="eastAsia" w:ascii="微软雅黑" w:hAnsi="微软雅黑" w:eastAsia="微软雅黑" w:cs="微软雅黑"/>
                <w:sz w:val="24"/>
                <w:szCs w:val="24"/>
              </w:rPr>
            </w:pPr>
            <w:r>
              <w:rPr>
                <w:rFonts w:hint="eastAsia" w:ascii="微软雅黑" w:hAnsi="微软雅黑" w:eastAsia="微软雅黑" w:cs="微软雅黑"/>
                <w:spacing w:val="13"/>
                <w:kern w:val="0"/>
                <w:sz w:val="24"/>
                <w:szCs w:val="24"/>
                <w:lang w:val="en-US" w:eastAsia="zh-CN" w:bidi="ar"/>
              </w:rPr>
              <w:t>任务及标准</w:t>
            </w:r>
          </w:p>
        </w:tc>
        <w:tc>
          <w:tcPr>
            <w:tcW w:w="1266" w:type="dxa"/>
            <w:gridSpan w:val="2"/>
            <w:tcBorders>
              <w:top w:val="nil"/>
              <w:left w:val="nil"/>
              <w:bottom w:val="single" w:color="231F20" w:sz="8"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5" w:right="-105"/>
              <w:jc w:val="center"/>
              <w:textAlignment w:val="auto"/>
              <w:rPr>
                <w:rFonts w:hint="eastAsia" w:ascii="微软雅黑" w:hAnsi="微软雅黑" w:eastAsia="微软雅黑" w:cs="微软雅黑"/>
                <w:spacing w:val="13"/>
                <w:kern w:val="0"/>
                <w:sz w:val="24"/>
                <w:szCs w:val="24"/>
                <w:lang w:val="en-US" w:eastAsia="zh-CN" w:bidi="ar"/>
              </w:rPr>
            </w:pPr>
            <w:r>
              <w:rPr>
                <w:rFonts w:hint="eastAsia" w:ascii="微软雅黑" w:hAnsi="微软雅黑" w:eastAsia="微软雅黑" w:cs="微软雅黑"/>
                <w:spacing w:val="13"/>
                <w:kern w:val="0"/>
                <w:sz w:val="24"/>
                <w:szCs w:val="24"/>
                <w:lang w:val="en-US" w:eastAsia="zh-CN" w:bidi="ar"/>
              </w:rPr>
              <w:t>牵头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5" w:right="-105"/>
              <w:jc w:val="center"/>
              <w:textAlignment w:val="auto"/>
              <w:rPr>
                <w:rFonts w:hint="eastAsia" w:ascii="微软雅黑" w:hAnsi="微软雅黑" w:eastAsia="微软雅黑" w:cs="微软雅黑"/>
                <w:sz w:val="24"/>
                <w:szCs w:val="24"/>
              </w:rPr>
            </w:pPr>
            <w:r>
              <w:rPr>
                <w:rFonts w:hint="eastAsia" w:ascii="微软雅黑" w:hAnsi="微软雅黑" w:eastAsia="微软雅黑" w:cs="微软雅黑"/>
                <w:spacing w:val="13"/>
                <w:kern w:val="0"/>
                <w:sz w:val="24"/>
                <w:szCs w:val="24"/>
                <w:lang w:val="en-US" w:eastAsia="zh-CN" w:bidi="ar"/>
              </w:rPr>
              <w:t>单位</w:t>
            </w:r>
          </w:p>
        </w:tc>
        <w:tc>
          <w:tcPr>
            <w:tcW w:w="1095" w:type="dxa"/>
            <w:tcBorders>
              <w:top w:val="nil"/>
              <w:left w:val="single" w:color="auto" w:sz="4" w:space="0"/>
              <w:bottom w:val="single" w:color="231F20" w:sz="8" w:space="0"/>
              <w:right w:val="single" w:color="231F20" w:sz="8"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5" w:right="-105"/>
              <w:jc w:val="center"/>
              <w:textAlignment w:val="auto"/>
              <w:rPr>
                <w:rFonts w:hint="eastAsia" w:ascii="微软雅黑" w:hAnsi="微软雅黑" w:eastAsia="微软雅黑" w:cs="微软雅黑"/>
                <w:spacing w:val="13"/>
                <w:kern w:val="0"/>
                <w:sz w:val="24"/>
                <w:szCs w:val="24"/>
                <w:lang w:val="en-US" w:eastAsia="zh-CN" w:bidi="ar"/>
              </w:rPr>
            </w:pPr>
            <w:r>
              <w:rPr>
                <w:rFonts w:hint="eastAsia" w:ascii="微软雅黑" w:hAnsi="微软雅黑" w:eastAsia="微软雅黑" w:cs="微软雅黑"/>
                <w:spacing w:val="13"/>
                <w:kern w:val="0"/>
                <w:sz w:val="24"/>
                <w:szCs w:val="24"/>
                <w:lang w:val="en-US" w:eastAsia="zh-CN" w:bidi="ar"/>
              </w:rPr>
              <w:t>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5" w:right="-105"/>
              <w:jc w:val="center"/>
              <w:textAlignment w:val="auto"/>
              <w:rPr>
                <w:rFonts w:hint="eastAsia" w:ascii="微软雅黑" w:hAnsi="微软雅黑" w:eastAsia="微软雅黑" w:cs="微软雅黑"/>
                <w:spacing w:val="13"/>
                <w:kern w:val="0"/>
                <w:sz w:val="24"/>
                <w:szCs w:val="24"/>
                <w:lang w:val="en-US" w:eastAsia="zh-CN" w:bidi="ar"/>
              </w:rPr>
            </w:pPr>
            <w:r>
              <w:rPr>
                <w:rFonts w:hint="eastAsia" w:ascii="微软雅黑" w:hAnsi="微软雅黑" w:eastAsia="微软雅黑" w:cs="微软雅黑"/>
                <w:spacing w:val="13"/>
                <w:kern w:val="0"/>
                <w:sz w:val="24"/>
                <w:szCs w:val="24"/>
                <w:lang w:val="en-US" w:eastAsia="zh-CN" w:bidi="ar"/>
              </w:rPr>
              <w:t>单位</w:t>
            </w:r>
          </w:p>
        </w:tc>
        <w:tc>
          <w:tcPr>
            <w:tcW w:w="1215" w:type="dxa"/>
            <w:tcBorders>
              <w:top w:val="nil"/>
              <w:left w:val="nil"/>
              <w:bottom w:val="single" w:color="231F20" w:sz="8" w:space="0"/>
              <w:right w:val="single" w:color="231F20" w:sz="8"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5" w:right="-105"/>
              <w:jc w:val="center"/>
              <w:textAlignment w:val="auto"/>
              <w:rPr>
                <w:rFonts w:hint="eastAsia" w:ascii="微软雅黑" w:hAnsi="微软雅黑" w:eastAsia="微软雅黑" w:cs="微软雅黑"/>
                <w:spacing w:val="13"/>
                <w:kern w:val="0"/>
                <w:sz w:val="24"/>
                <w:szCs w:val="24"/>
                <w:lang w:val="en-US" w:eastAsia="zh-CN" w:bidi="ar"/>
              </w:rPr>
            </w:pPr>
            <w:r>
              <w:rPr>
                <w:rFonts w:hint="eastAsia" w:ascii="微软雅黑" w:hAnsi="微软雅黑" w:eastAsia="微软雅黑" w:cs="微软雅黑"/>
                <w:spacing w:val="13"/>
                <w:kern w:val="0"/>
                <w:sz w:val="24"/>
                <w:szCs w:val="24"/>
                <w:lang w:val="en-US" w:eastAsia="zh-CN" w:bidi="ar"/>
              </w:rPr>
              <w:t>完成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5" w:right="-105"/>
              <w:jc w:val="center"/>
              <w:textAlignment w:val="auto"/>
              <w:rPr>
                <w:rFonts w:hint="eastAsia" w:ascii="微软雅黑" w:hAnsi="微软雅黑" w:eastAsia="微软雅黑" w:cs="微软雅黑"/>
                <w:sz w:val="24"/>
                <w:szCs w:val="24"/>
              </w:rPr>
            </w:pPr>
            <w:r>
              <w:rPr>
                <w:rFonts w:hint="eastAsia" w:ascii="微软雅黑" w:hAnsi="微软雅黑" w:eastAsia="微软雅黑" w:cs="微软雅黑"/>
                <w:spacing w:val="13"/>
                <w:kern w:val="0"/>
                <w:sz w:val="24"/>
                <w:szCs w:val="24"/>
                <w:lang w:val="en-US" w:eastAsia="zh-CN" w:bidi="ar"/>
              </w:rPr>
              <w:t>时限</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133" w:hRule="atLeast"/>
          <w:tblCellSpacing w:w="0" w:type="dxa"/>
          <w:jc w:val="center"/>
        </w:trPr>
        <w:tc>
          <w:tcPr>
            <w:tcW w:w="1278" w:type="dxa"/>
            <w:gridSpan w:val="3"/>
            <w:vMerge w:val="restart"/>
            <w:tcBorders>
              <w:top w:val="nil"/>
              <w:left w:val="single" w:color="231F20" w:sz="8" w:space="0"/>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3.幼儿园保教质量保障</w:t>
            </w:r>
          </w:p>
        </w:tc>
        <w:tc>
          <w:tcPr>
            <w:tcW w:w="1254" w:type="dxa"/>
            <w:gridSpan w:val="2"/>
            <w:vMerge w:val="restart"/>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7.小区配套幼儿园管理规范</w:t>
            </w:r>
          </w:p>
        </w:tc>
        <w:tc>
          <w:tcPr>
            <w:tcW w:w="2040" w:type="dxa"/>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9.落实省定居住区配套幼儿园与首期建设的居民住宅区同步规划、同步设计、同步建设、同步验收、同步交付使用。</w:t>
            </w:r>
          </w:p>
        </w:tc>
        <w:tc>
          <w:tcPr>
            <w:tcW w:w="6594" w:type="dxa"/>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落实居住区配套幼儿园建设“六同步”要求；2.制定完善本地小区配套幼儿园建设管理办法，小区配套幼儿园与住宅项目首期建设做到同步规划、设计、建设、验收、交付使用“五同步”要求，形成规范管理长效机制。</w:t>
            </w:r>
          </w:p>
        </w:tc>
        <w:tc>
          <w:tcPr>
            <w:tcW w:w="1266" w:type="dxa"/>
            <w:gridSpan w:val="2"/>
            <w:tcBorders>
              <w:top w:val="nil"/>
              <w:left w:val="nil"/>
              <w:bottom w:val="single" w:color="auto" w:sz="8"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行政审批局</w:t>
            </w:r>
          </w:p>
        </w:tc>
        <w:tc>
          <w:tcPr>
            <w:tcW w:w="1095" w:type="dxa"/>
            <w:tcBorders>
              <w:top w:val="nil"/>
              <w:left w:val="single" w:color="auto" w:sz="4" w:space="0"/>
              <w:bottom w:val="single" w:color="auto" w:sz="8" w:space="0"/>
              <w:right w:val="single" w:color="231F20" w:sz="8"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自然资源局</w:t>
            </w:r>
          </w:p>
        </w:tc>
        <w:tc>
          <w:tcPr>
            <w:tcW w:w="1215" w:type="dxa"/>
            <w:tcBorders>
              <w:top w:val="nil"/>
              <w:left w:val="nil"/>
              <w:bottom w:val="single" w:color="auto" w:sz="8" w:space="0"/>
              <w:right w:val="single" w:color="231F20" w:sz="8"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长  期</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039" w:hRule="atLeast"/>
          <w:tblCellSpacing w:w="0" w:type="dxa"/>
          <w:jc w:val="center"/>
        </w:trPr>
        <w:tc>
          <w:tcPr>
            <w:tcW w:w="1278" w:type="dxa"/>
            <w:gridSpan w:val="3"/>
            <w:vMerge w:val="continue"/>
            <w:tcBorders>
              <w:top w:val="nil"/>
              <w:left w:val="single" w:color="231F20" w:sz="8" w:space="0"/>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1254" w:type="dxa"/>
            <w:gridSpan w:val="2"/>
            <w:vMerge w:val="continue"/>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2040" w:type="dxa"/>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10.现有小区配套幼儿园由当地政府统筹安排办成公办园或委托办成普惠性民办园，且运转良好。</w:t>
            </w:r>
          </w:p>
        </w:tc>
        <w:tc>
          <w:tcPr>
            <w:tcW w:w="6594"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1.稳妥完成城镇小区配套幼儿园治理任务，确保全面移交，无遗留问题，治理结果向社会公开；2.城镇小区配套幼儿园按照“应公办尽公办”的原则，办成公办园或委托办成普惠性民办园且运转良好。</w:t>
            </w:r>
          </w:p>
        </w:tc>
        <w:tc>
          <w:tcPr>
            <w:tcW w:w="1266" w:type="dxa"/>
            <w:gridSpan w:val="2"/>
            <w:tcBorders>
              <w:top w:val="nil"/>
              <w:left w:val="nil"/>
              <w:bottom w:val="single" w:color="231F20" w:sz="8"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住建局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p>
        </w:tc>
        <w:tc>
          <w:tcPr>
            <w:tcW w:w="1095" w:type="dxa"/>
            <w:tcBorders>
              <w:top w:val="nil"/>
              <w:left w:val="single" w:color="auto" w:sz="4" w:space="0"/>
              <w:bottom w:val="single" w:color="231F20" w:sz="8" w:space="0"/>
              <w:right w:val="single" w:color="231F20" w:sz="8"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教育局</w:t>
            </w:r>
          </w:p>
        </w:tc>
        <w:tc>
          <w:tcPr>
            <w:tcW w:w="1215" w:type="dxa"/>
            <w:tcBorders>
              <w:top w:val="nil"/>
              <w:left w:val="nil"/>
              <w:bottom w:val="single" w:color="231F20" w:sz="8" w:space="0"/>
              <w:right w:val="single" w:color="231F20" w:sz="8"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2028年3月</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87" w:hRule="atLeast"/>
          <w:tblCellSpacing w:w="0" w:type="dxa"/>
          <w:jc w:val="center"/>
        </w:trPr>
        <w:tc>
          <w:tcPr>
            <w:tcW w:w="1278" w:type="dxa"/>
            <w:gridSpan w:val="3"/>
            <w:vMerge w:val="continue"/>
            <w:tcBorders>
              <w:top w:val="nil"/>
              <w:left w:val="single" w:color="231F20" w:sz="8" w:space="0"/>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1254" w:type="dxa"/>
            <w:gridSpan w:val="2"/>
            <w:vMerge w:val="restart"/>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8.财政投入到位</w:t>
            </w:r>
          </w:p>
        </w:tc>
        <w:tc>
          <w:tcPr>
            <w:tcW w:w="2040" w:type="dxa"/>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11.承担学前教育投入主体责任</w:t>
            </w:r>
          </w:p>
        </w:tc>
        <w:tc>
          <w:tcPr>
            <w:tcW w:w="6594" w:type="dxa"/>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确保学前教育阶段按在园幼儿数平均的一般公共预算教育支出实现逐年只增不减。制定并落实公办园生均财政拨款标准或生均公用经费标准。</w:t>
            </w:r>
          </w:p>
        </w:tc>
        <w:tc>
          <w:tcPr>
            <w:tcW w:w="1266" w:type="dxa"/>
            <w:gridSpan w:val="2"/>
            <w:tcBorders>
              <w:top w:val="nil"/>
              <w:left w:val="nil"/>
              <w:bottom w:val="single" w:color="auto" w:sz="8"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财政局</w:t>
            </w:r>
          </w:p>
        </w:tc>
        <w:tc>
          <w:tcPr>
            <w:tcW w:w="1095" w:type="dxa"/>
            <w:tcBorders>
              <w:top w:val="nil"/>
              <w:left w:val="single" w:color="auto" w:sz="4" w:space="0"/>
              <w:bottom w:val="single" w:color="auto" w:sz="8" w:space="0"/>
              <w:right w:val="single" w:color="231F20" w:sz="8"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 xml:space="preserve">教育局 </w:t>
            </w:r>
          </w:p>
        </w:tc>
        <w:tc>
          <w:tcPr>
            <w:tcW w:w="1215" w:type="dxa"/>
            <w:tcBorders>
              <w:top w:val="nil"/>
              <w:left w:val="nil"/>
              <w:bottom w:val="single" w:color="auto" w:sz="8" w:space="0"/>
              <w:right w:val="single" w:color="231F20" w:sz="8"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2028年2月</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692" w:hRule="atLeast"/>
          <w:tblCellSpacing w:w="0" w:type="dxa"/>
          <w:jc w:val="center"/>
        </w:trPr>
        <w:tc>
          <w:tcPr>
            <w:tcW w:w="1278" w:type="dxa"/>
            <w:gridSpan w:val="3"/>
            <w:vMerge w:val="continue"/>
            <w:tcBorders>
              <w:top w:val="nil"/>
              <w:left w:val="single" w:color="231F20" w:sz="8" w:space="0"/>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1254" w:type="dxa"/>
            <w:gridSpan w:val="2"/>
            <w:vMerge w:val="continue"/>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2040" w:type="dxa"/>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12.落实省定公办园生均财政拨款基准定额</w:t>
            </w:r>
          </w:p>
        </w:tc>
        <w:tc>
          <w:tcPr>
            <w:tcW w:w="6594" w:type="dxa"/>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落实省定学前教育经费投入每生每年不少于省定基准。</w:t>
            </w:r>
          </w:p>
        </w:tc>
        <w:tc>
          <w:tcPr>
            <w:tcW w:w="1266" w:type="dxa"/>
            <w:gridSpan w:val="2"/>
            <w:tcBorders>
              <w:top w:val="nil"/>
              <w:left w:val="nil"/>
              <w:bottom w:val="single" w:color="auto" w:sz="8"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财政局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 xml:space="preserve"> </w:t>
            </w:r>
          </w:p>
        </w:tc>
        <w:tc>
          <w:tcPr>
            <w:tcW w:w="1095" w:type="dxa"/>
            <w:tcBorders>
              <w:top w:val="nil"/>
              <w:left w:val="single" w:color="auto" w:sz="4" w:space="0"/>
              <w:bottom w:val="single" w:color="auto" w:sz="8" w:space="0"/>
              <w:right w:val="single" w:color="231F20" w:sz="8"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教育局</w:t>
            </w:r>
          </w:p>
        </w:tc>
        <w:tc>
          <w:tcPr>
            <w:tcW w:w="1215" w:type="dxa"/>
            <w:tcBorders>
              <w:top w:val="nil"/>
              <w:left w:val="nil"/>
              <w:bottom w:val="single" w:color="auto" w:sz="8" w:space="0"/>
              <w:right w:val="single" w:color="231F20" w:sz="8"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2028年3月</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245" w:hRule="atLeast"/>
          <w:tblCellSpacing w:w="0" w:type="dxa"/>
          <w:jc w:val="center"/>
        </w:trPr>
        <w:tc>
          <w:tcPr>
            <w:tcW w:w="1278" w:type="dxa"/>
            <w:gridSpan w:val="3"/>
            <w:vMerge w:val="continue"/>
            <w:tcBorders>
              <w:top w:val="nil"/>
              <w:left w:val="single" w:color="231F20" w:sz="8" w:space="0"/>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1254" w:type="dxa"/>
            <w:gridSpan w:val="2"/>
            <w:vMerge w:val="continue"/>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2040" w:type="dxa"/>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13.落实省定普惠性民办园认定标准、补助标准及财政扶持政策</w:t>
            </w:r>
          </w:p>
        </w:tc>
        <w:tc>
          <w:tcPr>
            <w:tcW w:w="6594" w:type="dxa"/>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1.按照省定普惠性民办园认定及管理政策要求，制定本地普惠性民办园认定及管理办法；2.支持普惠性民办幼儿园发展政策扶持情况（文件、文号、扶持情况）3.落实普惠性民办园财政奖补政策。</w:t>
            </w:r>
          </w:p>
        </w:tc>
        <w:tc>
          <w:tcPr>
            <w:tcW w:w="1266" w:type="dxa"/>
            <w:gridSpan w:val="2"/>
            <w:tcBorders>
              <w:top w:val="nil"/>
              <w:left w:val="nil"/>
              <w:bottom w:val="single" w:color="auto" w:sz="8"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财政局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p>
        </w:tc>
        <w:tc>
          <w:tcPr>
            <w:tcW w:w="1095" w:type="dxa"/>
            <w:tcBorders>
              <w:top w:val="nil"/>
              <w:left w:val="single" w:color="auto" w:sz="4" w:space="0"/>
              <w:bottom w:val="single" w:color="auto" w:sz="8" w:space="0"/>
              <w:right w:val="single" w:color="231F20" w:sz="8"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教育局</w:t>
            </w:r>
          </w:p>
        </w:tc>
        <w:tc>
          <w:tcPr>
            <w:tcW w:w="1215" w:type="dxa"/>
            <w:tcBorders>
              <w:top w:val="nil"/>
              <w:left w:val="nil"/>
              <w:bottom w:val="single" w:color="auto" w:sz="8" w:space="0"/>
              <w:right w:val="single" w:color="231F20" w:sz="8"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2028年1月</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8" w:hRule="atLeast"/>
          <w:tblCellSpacing w:w="0" w:type="dxa"/>
          <w:jc w:val="center"/>
        </w:trPr>
        <w:tc>
          <w:tcPr>
            <w:tcW w:w="1125" w:type="dxa"/>
            <w:gridSpan w:val="2"/>
            <w:tcBorders>
              <w:top w:val="single" w:color="231F20" w:sz="8" w:space="0"/>
              <w:left w:val="single" w:color="231F20" w:sz="8" w:space="0"/>
              <w:bottom w:val="single" w:color="231F20" w:sz="8" w:space="0"/>
              <w:right w:val="single" w:color="231F20" w:sz="8" w:space="0"/>
            </w:tcBorders>
            <w:shd w:val="clear" w:color="auto" w:fill="auto"/>
            <w:tcMar>
              <w:left w:w="57" w:type="dxa"/>
              <w:right w:w="57"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105" w:right="-105"/>
              <w:jc w:val="center"/>
              <w:rPr>
                <w:rFonts w:hint="eastAsia" w:ascii="微软雅黑" w:hAnsi="微软雅黑" w:eastAsia="微软雅黑" w:cs="微软雅黑"/>
                <w:sz w:val="24"/>
                <w:szCs w:val="24"/>
              </w:rPr>
            </w:pPr>
            <w:r>
              <w:rPr>
                <w:rFonts w:hint="eastAsia" w:ascii="微软雅黑" w:hAnsi="微软雅黑" w:eastAsia="微软雅黑" w:cs="微软雅黑"/>
                <w:spacing w:val="13"/>
                <w:sz w:val="24"/>
                <w:szCs w:val="24"/>
                <w:lang w:val="en-US"/>
              </w:rPr>
              <w:t>一级指标</w:t>
            </w:r>
          </w:p>
        </w:tc>
        <w:tc>
          <w:tcPr>
            <w:tcW w:w="1407" w:type="dxa"/>
            <w:gridSpan w:val="3"/>
            <w:tcBorders>
              <w:top w:val="single" w:color="231F20" w:sz="8" w:space="0"/>
              <w:left w:val="nil"/>
              <w:bottom w:val="single" w:color="231F20" w:sz="8" w:space="0"/>
              <w:right w:val="single" w:color="231F20" w:sz="8" w:space="0"/>
            </w:tcBorders>
            <w:shd w:val="clear" w:color="auto" w:fill="auto"/>
            <w:tcMar>
              <w:left w:w="57" w:type="dxa"/>
              <w:right w:w="57"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105" w:right="-105"/>
              <w:jc w:val="center"/>
              <w:rPr>
                <w:rFonts w:hint="eastAsia" w:ascii="微软雅黑" w:hAnsi="微软雅黑" w:eastAsia="微软雅黑" w:cs="微软雅黑"/>
                <w:sz w:val="24"/>
                <w:szCs w:val="24"/>
              </w:rPr>
            </w:pPr>
            <w:r>
              <w:rPr>
                <w:rFonts w:hint="eastAsia" w:ascii="微软雅黑" w:hAnsi="微软雅黑" w:eastAsia="微软雅黑" w:cs="微软雅黑"/>
                <w:spacing w:val="13"/>
                <w:sz w:val="24"/>
                <w:szCs w:val="24"/>
                <w:lang w:val="en-US"/>
              </w:rPr>
              <w:t>二级指标</w:t>
            </w:r>
          </w:p>
        </w:tc>
        <w:tc>
          <w:tcPr>
            <w:tcW w:w="2040" w:type="dxa"/>
            <w:tcBorders>
              <w:top w:val="single" w:color="231F20" w:sz="8" w:space="0"/>
              <w:left w:val="nil"/>
              <w:bottom w:val="single" w:color="231F20" w:sz="8" w:space="0"/>
              <w:right w:val="single" w:color="231F20" w:sz="8" w:space="0"/>
            </w:tcBorders>
            <w:shd w:val="clear" w:color="auto" w:fill="auto"/>
            <w:tcMar>
              <w:left w:w="57" w:type="dxa"/>
              <w:right w:w="57"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105" w:right="-105"/>
              <w:jc w:val="center"/>
              <w:rPr>
                <w:rFonts w:hint="eastAsia" w:ascii="微软雅黑" w:hAnsi="微软雅黑" w:eastAsia="微软雅黑" w:cs="微软雅黑"/>
                <w:sz w:val="24"/>
                <w:szCs w:val="24"/>
              </w:rPr>
            </w:pPr>
            <w:r>
              <w:rPr>
                <w:rFonts w:hint="eastAsia" w:ascii="微软雅黑" w:hAnsi="微软雅黑" w:eastAsia="微软雅黑" w:cs="微软雅黑"/>
                <w:spacing w:val="13"/>
                <w:sz w:val="24"/>
                <w:szCs w:val="24"/>
                <w:lang w:val="en-US"/>
              </w:rPr>
              <w:t>三级指标</w:t>
            </w:r>
          </w:p>
        </w:tc>
        <w:tc>
          <w:tcPr>
            <w:tcW w:w="6594" w:type="dxa"/>
            <w:tcBorders>
              <w:top w:val="single" w:color="231F20" w:sz="8" w:space="0"/>
              <w:left w:val="nil"/>
              <w:bottom w:val="single" w:color="231F20" w:sz="8" w:space="0"/>
              <w:right w:val="single" w:color="231F20" w:sz="8" w:space="0"/>
            </w:tcBorders>
            <w:shd w:val="clear" w:color="auto" w:fill="auto"/>
            <w:tcMar>
              <w:left w:w="57" w:type="dxa"/>
              <w:right w:w="57"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105" w:right="-105"/>
              <w:jc w:val="center"/>
              <w:rPr>
                <w:rFonts w:hint="eastAsia" w:ascii="微软雅黑" w:hAnsi="微软雅黑" w:eastAsia="微软雅黑" w:cs="微软雅黑"/>
                <w:sz w:val="24"/>
                <w:szCs w:val="24"/>
                <w:lang w:eastAsia="zh-CN"/>
              </w:rPr>
            </w:pPr>
            <w:r>
              <w:rPr>
                <w:rFonts w:hint="eastAsia" w:ascii="微软雅黑" w:hAnsi="微软雅黑" w:eastAsia="微软雅黑" w:cs="微软雅黑"/>
                <w:spacing w:val="13"/>
                <w:sz w:val="24"/>
                <w:szCs w:val="24"/>
                <w:lang w:val="en-US" w:eastAsia="zh-CN"/>
              </w:rPr>
              <w:t>任务及标准</w:t>
            </w:r>
          </w:p>
        </w:tc>
        <w:tc>
          <w:tcPr>
            <w:tcW w:w="1161" w:type="dxa"/>
            <w:tcBorders>
              <w:top w:val="single" w:color="231F20" w:sz="8" w:space="0"/>
              <w:left w:val="nil"/>
              <w:bottom w:val="single" w:color="231F20" w:sz="8" w:space="0"/>
              <w:right w:val="single" w:color="auto" w:sz="4" w:space="0"/>
            </w:tcBorders>
            <w:shd w:val="clear" w:color="auto" w:fill="auto"/>
            <w:tcMar>
              <w:left w:w="57" w:type="dxa"/>
              <w:right w:w="57"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pacing w:val="13"/>
                <w:sz w:val="24"/>
                <w:szCs w:val="24"/>
                <w:lang w:eastAsia="zh-CN"/>
              </w:rPr>
            </w:pPr>
            <w:r>
              <w:rPr>
                <w:rFonts w:hint="eastAsia" w:ascii="微软雅黑" w:hAnsi="微软雅黑" w:eastAsia="微软雅黑" w:cs="微软雅黑"/>
                <w:spacing w:val="13"/>
                <w:sz w:val="24"/>
                <w:szCs w:val="24"/>
                <w:lang w:eastAsia="zh-CN"/>
              </w:rPr>
              <w:t>牵头</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z w:val="24"/>
                <w:szCs w:val="24"/>
              </w:rPr>
            </w:pPr>
            <w:r>
              <w:rPr>
                <w:rFonts w:hint="eastAsia" w:ascii="微软雅黑" w:hAnsi="微软雅黑" w:eastAsia="微软雅黑" w:cs="微软雅黑"/>
                <w:spacing w:val="13"/>
                <w:sz w:val="24"/>
                <w:szCs w:val="24"/>
              </w:rPr>
              <w:t>单位</w:t>
            </w:r>
          </w:p>
        </w:tc>
        <w:tc>
          <w:tcPr>
            <w:tcW w:w="1200" w:type="dxa"/>
            <w:gridSpan w:val="2"/>
            <w:tcBorders>
              <w:top w:val="single" w:color="231F20" w:sz="8" w:space="0"/>
              <w:left w:val="single" w:color="auto" w:sz="4" w:space="0"/>
              <w:bottom w:val="single" w:color="231F20" w:sz="8" w:space="0"/>
              <w:right w:val="single" w:color="231F20" w:sz="8" w:space="0"/>
            </w:tcBorders>
            <w:shd w:val="clear" w:color="auto" w:fill="auto"/>
            <w:tcMar>
              <w:left w:w="57" w:type="dxa"/>
              <w:right w:w="57"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pacing w:val="13"/>
                <w:sz w:val="24"/>
                <w:szCs w:val="24"/>
                <w:lang w:eastAsia="zh-CN"/>
              </w:rPr>
            </w:pPr>
            <w:r>
              <w:rPr>
                <w:rFonts w:hint="eastAsia" w:ascii="微软雅黑" w:hAnsi="微软雅黑" w:eastAsia="微软雅黑" w:cs="微软雅黑"/>
                <w:spacing w:val="13"/>
                <w:kern w:val="0"/>
                <w:sz w:val="24"/>
                <w:szCs w:val="24"/>
                <w:lang w:val="en-US" w:eastAsia="zh-CN" w:bidi="ar"/>
              </w:rPr>
              <w:t>责任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pacing w:val="13"/>
                <w:sz w:val="24"/>
                <w:szCs w:val="24"/>
                <w:lang w:eastAsia="zh-CN"/>
              </w:rPr>
            </w:pPr>
            <w:r>
              <w:rPr>
                <w:rFonts w:hint="eastAsia" w:ascii="微软雅黑" w:hAnsi="微软雅黑" w:eastAsia="微软雅黑" w:cs="微软雅黑"/>
                <w:spacing w:val="13"/>
                <w:sz w:val="24"/>
                <w:szCs w:val="24"/>
                <w:lang w:eastAsia="zh-CN"/>
              </w:rPr>
              <w:t>单位</w:t>
            </w:r>
          </w:p>
        </w:tc>
        <w:tc>
          <w:tcPr>
            <w:tcW w:w="1215" w:type="dxa"/>
            <w:tcBorders>
              <w:top w:val="single" w:color="231F20" w:sz="8" w:space="0"/>
              <w:left w:val="nil"/>
              <w:bottom w:val="single" w:color="231F20" w:sz="8" w:space="0"/>
              <w:right w:val="single" w:color="231F20" w:sz="8" w:space="0"/>
            </w:tcBorders>
            <w:shd w:val="clear" w:color="auto" w:fill="auto"/>
            <w:tcMar>
              <w:left w:w="57" w:type="dxa"/>
              <w:right w:w="57"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pacing w:val="13"/>
                <w:sz w:val="24"/>
                <w:szCs w:val="24"/>
              </w:rPr>
            </w:pPr>
            <w:r>
              <w:rPr>
                <w:rFonts w:hint="eastAsia" w:ascii="微软雅黑" w:hAnsi="微软雅黑" w:eastAsia="微软雅黑" w:cs="微软雅黑"/>
                <w:spacing w:val="13"/>
                <w:sz w:val="24"/>
                <w:szCs w:val="24"/>
              </w:rPr>
              <w:t>完成</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z w:val="24"/>
                <w:szCs w:val="24"/>
              </w:rPr>
            </w:pPr>
            <w:r>
              <w:rPr>
                <w:rFonts w:hint="eastAsia" w:ascii="微软雅黑" w:hAnsi="微软雅黑" w:eastAsia="微软雅黑" w:cs="微软雅黑"/>
                <w:spacing w:val="13"/>
                <w:sz w:val="24"/>
                <w:szCs w:val="24"/>
              </w:rPr>
              <w:t>时限</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545" w:hRule="atLeast"/>
          <w:tblCellSpacing w:w="0" w:type="dxa"/>
          <w:jc w:val="center"/>
        </w:trPr>
        <w:tc>
          <w:tcPr>
            <w:tcW w:w="1125" w:type="dxa"/>
            <w:gridSpan w:val="2"/>
            <w:vMerge w:val="restart"/>
            <w:tcBorders>
              <w:top w:val="nil"/>
              <w:left w:val="single" w:color="231F20" w:sz="8" w:space="0"/>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3.幼儿园保教质量保障</w:t>
            </w:r>
          </w:p>
        </w:tc>
        <w:tc>
          <w:tcPr>
            <w:tcW w:w="1407" w:type="dxa"/>
            <w:gridSpan w:val="3"/>
            <w:vMerge w:val="restart"/>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8.财政投入到位</w:t>
            </w:r>
          </w:p>
        </w:tc>
        <w:tc>
          <w:tcPr>
            <w:tcW w:w="2040" w:type="dxa"/>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14.落实机关、企事业单位、部队、高校、街道、村集体办幼儿园财政补助政策。</w:t>
            </w:r>
          </w:p>
        </w:tc>
        <w:tc>
          <w:tcPr>
            <w:tcW w:w="6594" w:type="dxa"/>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因地制宜制定机关、企事业单位、部队、高校、街道、村集体等办幼儿园财政补助政策。</w:t>
            </w:r>
          </w:p>
        </w:tc>
        <w:tc>
          <w:tcPr>
            <w:tcW w:w="1161" w:type="dxa"/>
            <w:tcBorders>
              <w:top w:val="nil"/>
              <w:left w:val="nil"/>
              <w:bottom w:val="single" w:color="auto" w:sz="8"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财政局</w:t>
            </w:r>
          </w:p>
        </w:tc>
        <w:tc>
          <w:tcPr>
            <w:tcW w:w="1200" w:type="dxa"/>
            <w:gridSpan w:val="2"/>
            <w:tcBorders>
              <w:top w:val="nil"/>
              <w:left w:val="single" w:color="auto" w:sz="4" w:space="0"/>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 xml:space="preserve">教育局 </w:t>
            </w:r>
          </w:p>
        </w:tc>
        <w:tc>
          <w:tcPr>
            <w:tcW w:w="1215" w:type="dxa"/>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2028年2月</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608" w:hRule="atLeast"/>
          <w:tblCellSpacing w:w="0" w:type="dxa"/>
          <w:jc w:val="center"/>
        </w:trPr>
        <w:tc>
          <w:tcPr>
            <w:tcW w:w="1125" w:type="dxa"/>
            <w:gridSpan w:val="2"/>
            <w:vMerge w:val="continue"/>
            <w:tcBorders>
              <w:top w:val="nil"/>
              <w:left w:val="single" w:color="231F20" w:sz="8" w:space="0"/>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1407" w:type="dxa"/>
            <w:gridSpan w:val="3"/>
            <w:vMerge w:val="continue"/>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2040" w:type="dxa"/>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15.落实幼儿资助政策</w:t>
            </w:r>
          </w:p>
        </w:tc>
        <w:tc>
          <w:tcPr>
            <w:tcW w:w="6594"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落实幼儿精准资助政策，确保接受普惠性学前教育的建档立卡贫困户、低保、城市困难职工等家庭的子女和特困人员、监护人因见义勇为伤亡的被监护人、残疾人子女、烈士子女、事实无人抚养儿童、孤儿、残疾儿童等得到资助。</w:t>
            </w:r>
          </w:p>
        </w:tc>
        <w:tc>
          <w:tcPr>
            <w:tcW w:w="1161" w:type="dxa"/>
            <w:tcBorders>
              <w:top w:val="nil"/>
              <w:left w:val="nil"/>
              <w:bottom w:val="single" w:color="231F20" w:sz="8"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财政局</w:t>
            </w:r>
          </w:p>
        </w:tc>
        <w:tc>
          <w:tcPr>
            <w:tcW w:w="1200" w:type="dxa"/>
            <w:gridSpan w:val="2"/>
            <w:tcBorders>
              <w:top w:val="nil"/>
              <w:left w:val="single" w:color="auto" w:sz="4" w:space="0"/>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教育局</w:t>
            </w:r>
          </w:p>
        </w:tc>
        <w:tc>
          <w:tcPr>
            <w:tcW w:w="1215"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2028年2月</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439" w:hRule="atLeast"/>
          <w:tblCellSpacing w:w="0" w:type="dxa"/>
          <w:jc w:val="center"/>
        </w:trPr>
        <w:tc>
          <w:tcPr>
            <w:tcW w:w="1125" w:type="dxa"/>
            <w:gridSpan w:val="2"/>
            <w:vMerge w:val="continue"/>
            <w:tcBorders>
              <w:top w:val="nil"/>
              <w:left w:val="single" w:color="231F20" w:sz="8" w:space="0"/>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1407" w:type="dxa"/>
            <w:gridSpan w:val="3"/>
            <w:vMerge w:val="restart"/>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9.收费合理</w:t>
            </w:r>
          </w:p>
        </w:tc>
        <w:tc>
          <w:tcPr>
            <w:tcW w:w="2040" w:type="dxa"/>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16.落实公办园收费标准和非营利性民办园收费办法</w:t>
            </w:r>
          </w:p>
        </w:tc>
        <w:tc>
          <w:tcPr>
            <w:tcW w:w="6594" w:type="dxa"/>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制定并落实县域内公办园收费标准和非营利性民办园（包括普惠性民办园）收费办法。</w:t>
            </w:r>
          </w:p>
        </w:tc>
        <w:tc>
          <w:tcPr>
            <w:tcW w:w="1161" w:type="dxa"/>
            <w:tcBorders>
              <w:top w:val="nil"/>
              <w:left w:val="nil"/>
              <w:bottom w:val="single" w:color="auto" w:sz="8"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发改局</w:t>
            </w:r>
          </w:p>
        </w:tc>
        <w:tc>
          <w:tcPr>
            <w:tcW w:w="1200" w:type="dxa"/>
            <w:gridSpan w:val="2"/>
            <w:tcBorders>
              <w:top w:val="nil"/>
              <w:left w:val="single" w:color="auto" w:sz="4" w:space="0"/>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市场监管局教育局</w:t>
            </w:r>
          </w:p>
        </w:tc>
        <w:tc>
          <w:tcPr>
            <w:tcW w:w="1215" w:type="dxa"/>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2028年3月</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05" w:hRule="atLeast"/>
          <w:tblCellSpacing w:w="0" w:type="dxa"/>
          <w:jc w:val="center"/>
        </w:trPr>
        <w:tc>
          <w:tcPr>
            <w:tcW w:w="1125" w:type="dxa"/>
            <w:gridSpan w:val="2"/>
            <w:vMerge w:val="continue"/>
            <w:tcBorders>
              <w:top w:val="nil"/>
              <w:left w:val="single" w:color="231F20" w:sz="8" w:space="0"/>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1407" w:type="dxa"/>
            <w:gridSpan w:val="3"/>
            <w:vMerge w:val="continue"/>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2040" w:type="dxa"/>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17.幼儿园收费标准根据经济社会发展水平每3-5年动态调整</w:t>
            </w:r>
          </w:p>
        </w:tc>
        <w:tc>
          <w:tcPr>
            <w:tcW w:w="6594" w:type="dxa"/>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建立公办园收费动态调整机制，根据本地经济社会发展水平、办园成本、幼儿园类别和群众承受能力等因素，合理制定公办园收费标准；2.非营利性民办园（包括普惠性民办园）收费项目和标准根据办园成本、办园等级、市场需求等因素合理确定，向社会公示，并接受主管部门监督；3.营利性民办园收费标准实行市场调节，并向社会公示，坚决抑制过高收费。</w:t>
            </w:r>
          </w:p>
        </w:tc>
        <w:tc>
          <w:tcPr>
            <w:tcW w:w="1161" w:type="dxa"/>
            <w:tcBorders>
              <w:top w:val="nil"/>
              <w:left w:val="nil"/>
              <w:bottom w:val="single" w:color="auto" w:sz="8"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发改局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p>
        </w:tc>
        <w:tc>
          <w:tcPr>
            <w:tcW w:w="1200" w:type="dxa"/>
            <w:gridSpan w:val="2"/>
            <w:tcBorders>
              <w:top w:val="nil"/>
              <w:left w:val="single" w:color="auto" w:sz="4" w:space="0"/>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市场监管局教育局</w:t>
            </w:r>
          </w:p>
        </w:tc>
        <w:tc>
          <w:tcPr>
            <w:tcW w:w="1215" w:type="dxa"/>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2028年4月</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wBefore w:w="0" w:type="auto"/>
          <w:trHeight w:val="1038" w:hRule="atLeast"/>
          <w:tblCellSpacing w:w="0" w:type="dxa"/>
          <w:jc w:val="center"/>
        </w:trPr>
        <w:tc>
          <w:tcPr>
            <w:tcW w:w="1125" w:type="dxa"/>
            <w:gridSpan w:val="2"/>
            <w:tcBorders>
              <w:top w:val="single" w:color="231F20" w:sz="8" w:space="0"/>
              <w:left w:val="single" w:color="231F20" w:sz="8" w:space="0"/>
              <w:bottom w:val="single" w:color="231F20" w:sz="8" w:space="0"/>
              <w:right w:val="single" w:color="231F20" w:sz="8" w:space="0"/>
            </w:tcBorders>
            <w:shd w:val="clear" w:color="auto" w:fill="auto"/>
            <w:tcMar>
              <w:left w:w="57" w:type="dxa"/>
              <w:right w:w="57"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105" w:right="-105"/>
              <w:jc w:val="center"/>
              <w:rPr>
                <w:rFonts w:hint="eastAsia" w:ascii="微软雅黑" w:hAnsi="微软雅黑" w:eastAsia="微软雅黑" w:cs="微软雅黑"/>
                <w:sz w:val="24"/>
                <w:szCs w:val="24"/>
              </w:rPr>
            </w:pPr>
            <w:r>
              <w:rPr>
                <w:rFonts w:hint="eastAsia" w:ascii="微软雅黑" w:hAnsi="微软雅黑" w:eastAsia="微软雅黑" w:cs="微软雅黑"/>
                <w:spacing w:val="13"/>
                <w:sz w:val="24"/>
                <w:szCs w:val="24"/>
                <w:lang w:val="en-US"/>
              </w:rPr>
              <w:t>一级指标</w:t>
            </w:r>
          </w:p>
        </w:tc>
        <w:tc>
          <w:tcPr>
            <w:tcW w:w="1407" w:type="dxa"/>
            <w:gridSpan w:val="3"/>
            <w:tcBorders>
              <w:top w:val="single" w:color="231F20" w:sz="8" w:space="0"/>
              <w:left w:val="nil"/>
              <w:bottom w:val="single" w:color="231F20" w:sz="8" w:space="0"/>
              <w:right w:val="single" w:color="231F20" w:sz="8" w:space="0"/>
            </w:tcBorders>
            <w:shd w:val="clear" w:color="auto" w:fill="auto"/>
            <w:tcMar>
              <w:left w:w="57" w:type="dxa"/>
              <w:right w:w="57"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105" w:right="-105"/>
              <w:jc w:val="center"/>
              <w:rPr>
                <w:rFonts w:hint="eastAsia" w:ascii="微软雅黑" w:hAnsi="微软雅黑" w:eastAsia="微软雅黑" w:cs="微软雅黑"/>
                <w:sz w:val="24"/>
                <w:szCs w:val="24"/>
              </w:rPr>
            </w:pPr>
            <w:r>
              <w:rPr>
                <w:rFonts w:hint="eastAsia" w:ascii="微软雅黑" w:hAnsi="微软雅黑" w:eastAsia="微软雅黑" w:cs="微软雅黑"/>
                <w:spacing w:val="13"/>
                <w:sz w:val="24"/>
                <w:szCs w:val="24"/>
                <w:lang w:val="en-US"/>
              </w:rPr>
              <w:t>二级指标</w:t>
            </w:r>
          </w:p>
        </w:tc>
        <w:tc>
          <w:tcPr>
            <w:tcW w:w="2040" w:type="dxa"/>
            <w:tcBorders>
              <w:top w:val="single" w:color="231F20" w:sz="8" w:space="0"/>
              <w:left w:val="nil"/>
              <w:bottom w:val="single" w:color="231F20" w:sz="8" w:space="0"/>
              <w:right w:val="single" w:color="231F20" w:sz="8" w:space="0"/>
            </w:tcBorders>
            <w:shd w:val="clear" w:color="auto" w:fill="auto"/>
            <w:tcMar>
              <w:left w:w="57" w:type="dxa"/>
              <w:right w:w="57"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105" w:right="-105"/>
              <w:jc w:val="center"/>
              <w:rPr>
                <w:rFonts w:hint="eastAsia" w:ascii="微软雅黑" w:hAnsi="微软雅黑" w:eastAsia="微软雅黑" w:cs="微软雅黑"/>
                <w:sz w:val="24"/>
                <w:szCs w:val="24"/>
              </w:rPr>
            </w:pPr>
            <w:r>
              <w:rPr>
                <w:rFonts w:hint="eastAsia" w:ascii="微软雅黑" w:hAnsi="微软雅黑" w:eastAsia="微软雅黑" w:cs="微软雅黑"/>
                <w:spacing w:val="13"/>
                <w:sz w:val="24"/>
                <w:szCs w:val="24"/>
                <w:lang w:val="en-US"/>
              </w:rPr>
              <w:t>三级指标</w:t>
            </w:r>
          </w:p>
        </w:tc>
        <w:tc>
          <w:tcPr>
            <w:tcW w:w="6594" w:type="dxa"/>
            <w:tcBorders>
              <w:top w:val="single" w:color="231F20" w:sz="8" w:space="0"/>
              <w:left w:val="nil"/>
              <w:bottom w:val="single" w:color="231F20" w:sz="8" w:space="0"/>
              <w:right w:val="single" w:color="231F20" w:sz="8" w:space="0"/>
            </w:tcBorders>
            <w:shd w:val="clear" w:color="auto" w:fill="auto"/>
            <w:tcMar>
              <w:left w:w="57" w:type="dxa"/>
              <w:right w:w="57"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105" w:right="-105"/>
              <w:jc w:val="center"/>
              <w:rPr>
                <w:rFonts w:hint="eastAsia" w:ascii="微软雅黑" w:hAnsi="微软雅黑" w:eastAsia="微软雅黑" w:cs="微软雅黑"/>
                <w:sz w:val="24"/>
                <w:szCs w:val="24"/>
                <w:lang w:eastAsia="zh-CN"/>
              </w:rPr>
            </w:pPr>
            <w:r>
              <w:rPr>
                <w:rFonts w:hint="eastAsia" w:ascii="微软雅黑" w:hAnsi="微软雅黑" w:eastAsia="微软雅黑" w:cs="微软雅黑"/>
                <w:spacing w:val="13"/>
                <w:sz w:val="24"/>
                <w:szCs w:val="24"/>
                <w:lang w:val="en-US" w:eastAsia="zh-CN"/>
              </w:rPr>
              <w:t>任务及标准</w:t>
            </w:r>
          </w:p>
        </w:tc>
        <w:tc>
          <w:tcPr>
            <w:tcW w:w="1161" w:type="dxa"/>
            <w:tcBorders>
              <w:top w:val="single" w:color="231F20" w:sz="8" w:space="0"/>
              <w:left w:val="nil"/>
              <w:bottom w:val="single" w:color="231F20" w:sz="8" w:space="0"/>
              <w:right w:val="single" w:color="auto" w:sz="4" w:space="0"/>
            </w:tcBorders>
            <w:shd w:val="clear" w:color="auto" w:fill="auto"/>
            <w:tcMar>
              <w:left w:w="57" w:type="dxa"/>
              <w:right w:w="57"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pacing w:val="13"/>
                <w:sz w:val="24"/>
                <w:szCs w:val="24"/>
                <w:lang w:eastAsia="zh-CN"/>
              </w:rPr>
            </w:pPr>
            <w:r>
              <w:rPr>
                <w:rFonts w:hint="eastAsia" w:ascii="微软雅黑" w:hAnsi="微软雅黑" w:eastAsia="微软雅黑" w:cs="微软雅黑"/>
                <w:spacing w:val="13"/>
                <w:sz w:val="24"/>
                <w:szCs w:val="24"/>
                <w:lang w:eastAsia="zh-CN"/>
              </w:rPr>
              <w:t>牵头</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z w:val="24"/>
                <w:szCs w:val="24"/>
              </w:rPr>
            </w:pPr>
            <w:r>
              <w:rPr>
                <w:rFonts w:hint="eastAsia" w:ascii="微软雅黑" w:hAnsi="微软雅黑" w:eastAsia="微软雅黑" w:cs="微软雅黑"/>
                <w:spacing w:val="13"/>
                <w:sz w:val="24"/>
                <w:szCs w:val="24"/>
              </w:rPr>
              <w:t>单位</w:t>
            </w:r>
          </w:p>
        </w:tc>
        <w:tc>
          <w:tcPr>
            <w:tcW w:w="1200" w:type="dxa"/>
            <w:gridSpan w:val="2"/>
            <w:tcBorders>
              <w:top w:val="single" w:color="231F20" w:sz="8" w:space="0"/>
              <w:left w:val="single" w:color="auto" w:sz="4" w:space="0"/>
              <w:bottom w:val="single" w:color="231F20" w:sz="8" w:space="0"/>
              <w:right w:val="single" w:color="231F20" w:sz="8" w:space="0"/>
            </w:tcBorders>
            <w:shd w:val="clear" w:color="auto" w:fill="auto"/>
            <w:tcMar>
              <w:left w:w="57" w:type="dxa"/>
              <w:right w:w="57"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pacing w:val="13"/>
                <w:sz w:val="24"/>
                <w:szCs w:val="24"/>
                <w:lang w:eastAsia="zh-CN"/>
              </w:rPr>
            </w:pPr>
            <w:r>
              <w:rPr>
                <w:rFonts w:hint="eastAsia" w:ascii="微软雅黑" w:hAnsi="微软雅黑" w:eastAsia="微软雅黑" w:cs="微软雅黑"/>
                <w:spacing w:val="13"/>
                <w:kern w:val="0"/>
                <w:sz w:val="24"/>
                <w:szCs w:val="24"/>
                <w:lang w:val="en-US" w:eastAsia="zh-CN" w:bidi="ar"/>
              </w:rPr>
              <w:t>责任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pacing w:val="13"/>
                <w:sz w:val="24"/>
                <w:szCs w:val="24"/>
                <w:lang w:eastAsia="zh-CN"/>
              </w:rPr>
            </w:pPr>
            <w:r>
              <w:rPr>
                <w:rFonts w:hint="eastAsia" w:ascii="微软雅黑" w:hAnsi="微软雅黑" w:eastAsia="微软雅黑" w:cs="微软雅黑"/>
                <w:spacing w:val="13"/>
                <w:sz w:val="24"/>
                <w:szCs w:val="24"/>
                <w:lang w:eastAsia="zh-CN"/>
              </w:rPr>
              <w:t>单位</w:t>
            </w:r>
          </w:p>
        </w:tc>
        <w:tc>
          <w:tcPr>
            <w:tcW w:w="1215" w:type="dxa"/>
            <w:tcBorders>
              <w:top w:val="single" w:color="231F20" w:sz="8" w:space="0"/>
              <w:left w:val="nil"/>
              <w:bottom w:val="single" w:color="231F20" w:sz="8" w:space="0"/>
              <w:right w:val="single" w:color="231F20" w:sz="8" w:space="0"/>
            </w:tcBorders>
            <w:shd w:val="clear" w:color="auto" w:fill="auto"/>
            <w:tcMar>
              <w:left w:w="57" w:type="dxa"/>
              <w:right w:w="57"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pacing w:val="13"/>
                <w:sz w:val="24"/>
                <w:szCs w:val="24"/>
              </w:rPr>
            </w:pPr>
            <w:r>
              <w:rPr>
                <w:rFonts w:hint="eastAsia" w:ascii="微软雅黑" w:hAnsi="微软雅黑" w:eastAsia="微软雅黑" w:cs="微软雅黑"/>
                <w:spacing w:val="13"/>
                <w:sz w:val="24"/>
                <w:szCs w:val="24"/>
              </w:rPr>
              <w:t>完成</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z w:val="24"/>
                <w:szCs w:val="24"/>
              </w:rPr>
            </w:pPr>
            <w:r>
              <w:rPr>
                <w:rFonts w:hint="eastAsia" w:ascii="微软雅黑" w:hAnsi="微软雅黑" w:eastAsia="微软雅黑" w:cs="微软雅黑"/>
                <w:spacing w:val="13"/>
                <w:sz w:val="24"/>
                <w:szCs w:val="24"/>
              </w:rPr>
              <w:t>时限</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wBefore w:w="0" w:type="auto"/>
          <w:trHeight w:val="1103" w:hRule="atLeast"/>
          <w:tblCellSpacing w:w="0" w:type="dxa"/>
          <w:jc w:val="center"/>
        </w:trPr>
        <w:tc>
          <w:tcPr>
            <w:tcW w:w="1125" w:type="dxa"/>
            <w:gridSpan w:val="2"/>
            <w:vMerge w:val="restart"/>
            <w:tcBorders>
              <w:top w:val="nil"/>
              <w:left w:val="single" w:color="231F20" w:sz="8" w:space="0"/>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3.幼儿园保教质量保障</w:t>
            </w:r>
          </w:p>
        </w:tc>
        <w:tc>
          <w:tcPr>
            <w:tcW w:w="1407" w:type="dxa"/>
            <w:gridSpan w:val="3"/>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9.收费合理</w:t>
            </w:r>
          </w:p>
        </w:tc>
        <w:tc>
          <w:tcPr>
            <w:tcW w:w="2040" w:type="dxa"/>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18.各类幼儿园无不合理收费情况</w:t>
            </w:r>
          </w:p>
        </w:tc>
        <w:tc>
          <w:tcPr>
            <w:tcW w:w="6594"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default"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1.依法加强对各类幼儿园收费项目和价格的监管；2.对乱收费行为及时进行治理和查处。3.治理使用教辅资料.玩具等变相收费。</w:t>
            </w:r>
          </w:p>
        </w:tc>
        <w:tc>
          <w:tcPr>
            <w:tcW w:w="1161" w:type="dxa"/>
            <w:tcBorders>
              <w:top w:val="nil"/>
              <w:left w:val="nil"/>
              <w:bottom w:val="single" w:color="231F20" w:sz="8"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市场监管局</w:t>
            </w:r>
          </w:p>
        </w:tc>
        <w:tc>
          <w:tcPr>
            <w:tcW w:w="1200" w:type="dxa"/>
            <w:gridSpan w:val="2"/>
            <w:tcBorders>
              <w:top w:val="nil"/>
              <w:left w:val="single" w:color="auto" w:sz="4" w:space="0"/>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教育局</w:t>
            </w:r>
          </w:p>
        </w:tc>
        <w:tc>
          <w:tcPr>
            <w:tcW w:w="1215"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2028年4月</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wBefore w:w="0" w:type="auto"/>
          <w:trHeight w:val="2825" w:hRule="atLeast"/>
          <w:tblCellSpacing w:w="0" w:type="dxa"/>
          <w:jc w:val="center"/>
        </w:trPr>
        <w:tc>
          <w:tcPr>
            <w:tcW w:w="1125" w:type="dxa"/>
            <w:gridSpan w:val="2"/>
            <w:vMerge w:val="continue"/>
            <w:tcBorders>
              <w:top w:val="nil"/>
              <w:left w:val="single" w:color="231F20" w:sz="8" w:space="0"/>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1407" w:type="dxa"/>
            <w:gridSpan w:val="3"/>
            <w:vMerge w:val="restart"/>
            <w:tcBorders>
              <w:top w:val="nil"/>
              <w:left w:val="nil"/>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10.教师工资待遇有保障</w:t>
            </w:r>
          </w:p>
        </w:tc>
        <w:tc>
          <w:tcPr>
            <w:tcW w:w="2040"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19.落实公办园教师工资待遇保障政策，确保教师工资及时足额发放、同工同酬</w:t>
            </w:r>
          </w:p>
        </w:tc>
        <w:tc>
          <w:tcPr>
            <w:tcW w:w="6594"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1.落实公办园教师工资待遇保障政策；2.统筹生均综合财政拨款、事业收入等渠道，确保教师工资及时足额发放；3.落实公办园编内编外幼儿教师同工同酬相关政策措施并保障落实。</w:t>
            </w:r>
          </w:p>
        </w:tc>
        <w:tc>
          <w:tcPr>
            <w:tcW w:w="1161" w:type="dxa"/>
            <w:tcBorders>
              <w:top w:val="nil"/>
              <w:left w:val="nil"/>
              <w:bottom w:val="single" w:color="231F20" w:sz="8"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人社局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财政局</w:t>
            </w:r>
          </w:p>
        </w:tc>
        <w:tc>
          <w:tcPr>
            <w:tcW w:w="1200" w:type="dxa"/>
            <w:gridSpan w:val="2"/>
            <w:tcBorders>
              <w:top w:val="nil"/>
              <w:left w:val="single" w:color="auto" w:sz="4" w:space="0"/>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教育局</w:t>
            </w:r>
          </w:p>
        </w:tc>
        <w:tc>
          <w:tcPr>
            <w:tcW w:w="1215"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2028年2月</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wBefore w:w="0" w:type="auto"/>
          <w:trHeight w:val="3655" w:hRule="atLeast"/>
          <w:tblCellSpacing w:w="0" w:type="dxa"/>
          <w:jc w:val="center"/>
        </w:trPr>
        <w:tc>
          <w:tcPr>
            <w:tcW w:w="1125" w:type="dxa"/>
            <w:gridSpan w:val="2"/>
            <w:vMerge w:val="continue"/>
            <w:tcBorders>
              <w:top w:val="nil"/>
              <w:left w:val="single" w:color="231F20" w:sz="8" w:space="0"/>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1407" w:type="dxa"/>
            <w:gridSpan w:val="3"/>
            <w:vMerge w:val="continue"/>
            <w:tcBorders>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2040" w:type="dxa"/>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20.参照公办园教师工资收入水平，合理确定民办园相应教师工资收入。</w:t>
            </w:r>
          </w:p>
        </w:tc>
        <w:tc>
          <w:tcPr>
            <w:tcW w:w="6594"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1.民办园参照当地公办园教师工资收入水平，合理确定相应教师的工资收入；2.按时足额发放工资，没有拖欠民办园教师工资的现象。</w:t>
            </w:r>
          </w:p>
        </w:tc>
        <w:tc>
          <w:tcPr>
            <w:tcW w:w="1161" w:type="dxa"/>
            <w:tcBorders>
              <w:top w:val="nil"/>
              <w:left w:val="nil"/>
              <w:bottom w:val="single" w:color="231F20" w:sz="8"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教育局</w:t>
            </w:r>
          </w:p>
        </w:tc>
        <w:tc>
          <w:tcPr>
            <w:tcW w:w="1200" w:type="dxa"/>
            <w:gridSpan w:val="2"/>
            <w:tcBorders>
              <w:top w:val="nil"/>
              <w:left w:val="single" w:color="auto" w:sz="4" w:space="0"/>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人社局</w:t>
            </w:r>
          </w:p>
        </w:tc>
        <w:tc>
          <w:tcPr>
            <w:tcW w:w="1215"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2028年2月</w:t>
            </w:r>
          </w:p>
        </w:tc>
      </w:tr>
    </w:tbl>
    <w:tbl>
      <w:tblPr>
        <w:tblStyle w:val="7"/>
        <w:tblpPr w:leftFromText="180" w:rightFromText="180" w:vertAnchor="text" w:horzAnchor="page" w:tblpX="1144" w:tblpY="185"/>
        <w:tblOverlap w:val="never"/>
        <w:tblW w:w="14691" w:type="dxa"/>
        <w:tblCellSpacing w:w="0" w:type="dxa"/>
        <w:tblInd w:w="0" w:type="dxa"/>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117"/>
        <w:gridCol w:w="1383"/>
        <w:gridCol w:w="2067"/>
        <w:gridCol w:w="6484"/>
        <w:gridCol w:w="1265"/>
        <w:gridCol w:w="1147"/>
        <w:gridCol w:w="1228"/>
      </w:tblGrid>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trPr>
        <w:tc>
          <w:tcPr>
            <w:tcW w:w="1117" w:type="dxa"/>
            <w:tcBorders>
              <w:top w:val="single" w:color="231F20" w:sz="8" w:space="0"/>
              <w:left w:val="single" w:color="231F20" w:sz="8" w:space="0"/>
              <w:bottom w:val="single" w:color="auto" w:sz="8" w:space="0"/>
              <w:right w:val="single" w:color="231F20" w:sz="8" w:space="0"/>
            </w:tcBorders>
            <w:shd w:val="clear" w:color="auto" w:fill="auto"/>
            <w:tcMar>
              <w:left w:w="57" w:type="dxa"/>
              <w:right w:w="57"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105" w:right="-105"/>
              <w:jc w:val="center"/>
              <w:rPr>
                <w:rFonts w:hint="eastAsia" w:ascii="微软雅黑" w:hAnsi="微软雅黑" w:eastAsia="微软雅黑" w:cs="微软雅黑"/>
                <w:sz w:val="24"/>
                <w:szCs w:val="24"/>
              </w:rPr>
            </w:pPr>
            <w:r>
              <w:rPr>
                <w:rFonts w:hint="eastAsia" w:ascii="微软雅黑" w:hAnsi="微软雅黑" w:eastAsia="微软雅黑" w:cs="微软雅黑"/>
                <w:spacing w:val="13"/>
                <w:sz w:val="24"/>
                <w:szCs w:val="24"/>
                <w:lang w:val="en-US"/>
              </w:rPr>
              <w:t>一级指标</w:t>
            </w:r>
          </w:p>
        </w:tc>
        <w:tc>
          <w:tcPr>
            <w:tcW w:w="1383" w:type="dxa"/>
            <w:tcBorders>
              <w:top w:val="single" w:color="231F20" w:sz="8" w:space="0"/>
              <w:left w:val="nil"/>
              <w:bottom w:val="single" w:color="auto" w:sz="8" w:space="0"/>
              <w:right w:val="single" w:color="231F20" w:sz="8" w:space="0"/>
            </w:tcBorders>
            <w:shd w:val="clear" w:color="auto" w:fill="auto"/>
            <w:tcMar>
              <w:left w:w="57" w:type="dxa"/>
              <w:right w:w="57"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105" w:right="-105"/>
              <w:jc w:val="center"/>
              <w:rPr>
                <w:rFonts w:hint="eastAsia" w:ascii="微软雅黑" w:hAnsi="微软雅黑" w:eastAsia="微软雅黑" w:cs="微软雅黑"/>
                <w:sz w:val="22"/>
                <w:szCs w:val="22"/>
              </w:rPr>
            </w:pPr>
            <w:r>
              <w:rPr>
                <w:rFonts w:hint="eastAsia" w:ascii="微软雅黑" w:hAnsi="微软雅黑" w:eastAsia="微软雅黑" w:cs="微软雅黑"/>
                <w:spacing w:val="13"/>
                <w:sz w:val="22"/>
                <w:szCs w:val="22"/>
                <w:lang w:val="en-US"/>
              </w:rPr>
              <w:t>二级指标</w:t>
            </w:r>
          </w:p>
        </w:tc>
        <w:tc>
          <w:tcPr>
            <w:tcW w:w="2067" w:type="dxa"/>
            <w:tcBorders>
              <w:top w:val="single" w:color="231F20" w:sz="8" w:space="0"/>
              <w:left w:val="nil"/>
              <w:bottom w:val="single" w:color="231F20" w:sz="8" w:space="0"/>
              <w:right w:val="single" w:color="231F20" w:sz="8" w:space="0"/>
            </w:tcBorders>
            <w:shd w:val="clear" w:color="auto" w:fill="auto"/>
            <w:tcMar>
              <w:left w:w="57" w:type="dxa"/>
              <w:right w:w="57"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105" w:right="-105"/>
              <w:jc w:val="center"/>
              <w:rPr>
                <w:rFonts w:hint="eastAsia" w:ascii="微软雅黑" w:hAnsi="微软雅黑" w:eastAsia="微软雅黑" w:cs="微软雅黑"/>
                <w:sz w:val="22"/>
                <w:szCs w:val="22"/>
              </w:rPr>
            </w:pPr>
            <w:r>
              <w:rPr>
                <w:rFonts w:hint="eastAsia" w:ascii="微软雅黑" w:hAnsi="微软雅黑" w:eastAsia="微软雅黑" w:cs="微软雅黑"/>
                <w:spacing w:val="13"/>
                <w:sz w:val="22"/>
                <w:szCs w:val="22"/>
                <w:lang w:val="en-US"/>
              </w:rPr>
              <w:t>三级指标</w:t>
            </w:r>
          </w:p>
        </w:tc>
        <w:tc>
          <w:tcPr>
            <w:tcW w:w="6484" w:type="dxa"/>
            <w:tcBorders>
              <w:top w:val="single" w:color="231F20" w:sz="8" w:space="0"/>
              <w:left w:val="nil"/>
              <w:bottom w:val="single" w:color="231F20" w:sz="8" w:space="0"/>
              <w:right w:val="single" w:color="231F20" w:sz="8" w:space="0"/>
            </w:tcBorders>
            <w:shd w:val="clear" w:color="auto" w:fill="auto"/>
            <w:tcMar>
              <w:left w:w="57" w:type="dxa"/>
              <w:right w:w="57"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105" w:right="-105"/>
              <w:jc w:val="center"/>
              <w:rPr>
                <w:rFonts w:hint="eastAsia" w:ascii="微软雅黑" w:hAnsi="微软雅黑" w:eastAsia="微软雅黑" w:cs="微软雅黑"/>
                <w:sz w:val="24"/>
                <w:szCs w:val="24"/>
                <w:lang w:eastAsia="zh-CN"/>
              </w:rPr>
            </w:pPr>
            <w:r>
              <w:rPr>
                <w:rFonts w:hint="eastAsia" w:ascii="微软雅黑" w:hAnsi="微软雅黑" w:eastAsia="微软雅黑" w:cs="微软雅黑"/>
                <w:spacing w:val="13"/>
                <w:sz w:val="24"/>
                <w:szCs w:val="24"/>
                <w:lang w:val="en-US" w:eastAsia="zh-CN"/>
              </w:rPr>
              <w:t>任务及标准</w:t>
            </w:r>
          </w:p>
        </w:tc>
        <w:tc>
          <w:tcPr>
            <w:tcW w:w="1265" w:type="dxa"/>
            <w:tcBorders>
              <w:top w:val="single" w:color="231F20" w:sz="8" w:space="0"/>
              <w:left w:val="nil"/>
              <w:bottom w:val="single" w:color="231F20" w:sz="8" w:space="0"/>
              <w:right w:val="single" w:color="auto" w:sz="4" w:space="0"/>
            </w:tcBorders>
            <w:shd w:val="clear" w:color="auto" w:fill="auto"/>
            <w:tcMar>
              <w:left w:w="57" w:type="dxa"/>
              <w:right w:w="57"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pacing w:val="13"/>
                <w:sz w:val="24"/>
                <w:szCs w:val="24"/>
                <w:lang w:eastAsia="zh-CN"/>
              </w:rPr>
            </w:pPr>
            <w:r>
              <w:rPr>
                <w:rFonts w:hint="eastAsia" w:ascii="微软雅黑" w:hAnsi="微软雅黑" w:eastAsia="微软雅黑" w:cs="微软雅黑"/>
                <w:spacing w:val="13"/>
                <w:sz w:val="24"/>
                <w:szCs w:val="24"/>
                <w:lang w:eastAsia="zh-CN"/>
              </w:rPr>
              <w:t>牵头</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z w:val="24"/>
                <w:szCs w:val="24"/>
              </w:rPr>
            </w:pPr>
            <w:r>
              <w:rPr>
                <w:rFonts w:hint="eastAsia" w:ascii="微软雅黑" w:hAnsi="微软雅黑" w:eastAsia="微软雅黑" w:cs="微软雅黑"/>
                <w:spacing w:val="13"/>
                <w:sz w:val="24"/>
                <w:szCs w:val="24"/>
              </w:rPr>
              <w:t>单位</w:t>
            </w:r>
          </w:p>
        </w:tc>
        <w:tc>
          <w:tcPr>
            <w:tcW w:w="1147" w:type="dxa"/>
            <w:tcBorders>
              <w:top w:val="single" w:color="231F20" w:sz="8" w:space="0"/>
              <w:left w:val="single" w:color="auto" w:sz="4" w:space="0"/>
              <w:bottom w:val="single" w:color="231F20" w:sz="8" w:space="0"/>
              <w:right w:val="single" w:color="231F20" w:sz="8" w:space="0"/>
            </w:tcBorders>
            <w:shd w:val="clear" w:color="auto" w:fill="auto"/>
            <w:tcMar>
              <w:left w:w="57" w:type="dxa"/>
              <w:right w:w="57"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pacing w:val="13"/>
                <w:kern w:val="0"/>
                <w:sz w:val="24"/>
                <w:szCs w:val="24"/>
                <w:lang w:val="en-US" w:eastAsia="zh-CN" w:bidi="ar"/>
              </w:rPr>
            </w:pPr>
            <w:r>
              <w:rPr>
                <w:rFonts w:hint="eastAsia" w:ascii="微软雅黑" w:hAnsi="微软雅黑" w:eastAsia="微软雅黑" w:cs="微软雅黑"/>
                <w:spacing w:val="13"/>
                <w:kern w:val="0"/>
                <w:sz w:val="24"/>
                <w:szCs w:val="24"/>
                <w:lang w:val="en-US" w:eastAsia="zh-CN" w:bidi="ar"/>
              </w:rPr>
              <w:t>责任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pacing w:val="13"/>
                <w:sz w:val="24"/>
                <w:szCs w:val="24"/>
                <w:lang w:eastAsia="zh-CN"/>
              </w:rPr>
            </w:pPr>
            <w:r>
              <w:rPr>
                <w:rFonts w:hint="eastAsia" w:ascii="微软雅黑" w:hAnsi="微软雅黑" w:eastAsia="微软雅黑" w:cs="微软雅黑"/>
                <w:spacing w:val="13"/>
                <w:sz w:val="24"/>
                <w:szCs w:val="24"/>
                <w:lang w:eastAsia="zh-CN"/>
              </w:rPr>
              <w:t>单位</w:t>
            </w:r>
          </w:p>
        </w:tc>
        <w:tc>
          <w:tcPr>
            <w:tcW w:w="1228" w:type="dxa"/>
            <w:tcBorders>
              <w:top w:val="single" w:color="231F20" w:sz="8" w:space="0"/>
              <w:left w:val="nil"/>
              <w:bottom w:val="single" w:color="231F20" w:sz="8" w:space="0"/>
              <w:right w:val="single" w:color="231F20" w:sz="8" w:space="0"/>
            </w:tcBorders>
            <w:shd w:val="clear" w:color="auto" w:fill="auto"/>
            <w:tcMar>
              <w:left w:w="57" w:type="dxa"/>
              <w:right w:w="57"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pacing w:val="13"/>
                <w:sz w:val="24"/>
                <w:szCs w:val="24"/>
              </w:rPr>
            </w:pPr>
            <w:r>
              <w:rPr>
                <w:rFonts w:hint="eastAsia" w:ascii="微软雅黑" w:hAnsi="微软雅黑" w:eastAsia="微软雅黑" w:cs="微软雅黑"/>
                <w:spacing w:val="13"/>
                <w:sz w:val="24"/>
                <w:szCs w:val="24"/>
              </w:rPr>
              <w:t>完成</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z w:val="24"/>
                <w:szCs w:val="24"/>
              </w:rPr>
            </w:pPr>
            <w:r>
              <w:rPr>
                <w:rFonts w:hint="eastAsia" w:ascii="微软雅黑" w:hAnsi="微软雅黑" w:eastAsia="微软雅黑" w:cs="微软雅黑"/>
                <w:spacing w:val="13"/>
                <w:sz w:val="24"/>
                <w:szCs w:val="24"/>
              </w:rPr>
              <w:t>时限</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572" w:hRule="atLeast"/>
          <w:tblCellSpacing w:w="0" w:type="dxa"/>
        </w:trPr>
        <w:tc>
          <w:tcPr>
            <w:tcW w:w="1117" w:type="dxa"/>
            <w:vMerge w:val="restart"/>
            <w:tcBorders>
              <w:top w:val="nil"/>
              <w:left w:val="single" w:color="231F20" w:sz="8" w:space="0"/>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default"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3.幼儿园保教质量保障</w:t>
            </w:r>
          </w:p>
        </w:tc>
        <w:tc>
          <w:tcPr>
            <w:tcW w:w="1383" w:type="dxa"/>
            <w:vMerge w:val="restart"/>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11.安全风险防控机制健全</w:t>
            </w:r>
          </w:p>
        </w:tc>
        <w:tc>
          <w:tcPr>
            <w:tcW w:w="2067"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21.落实教育、公安、生态环境、交通、住房城乡建设、卫生健康、市场监管、应急等部门对幼儿园园所、食品、卫生、校车、消防等各方面的安全监管责任。</w:t>
            </w:r>
          </w:p>
        </w:tc>
        <w:tc>
          <w:tcPr>
            <w:tcW w:w="6484"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建立全覆盖的幼儿园安全风险防控体系，落实教育、公安、生态环境、交通运输、住房城乡建设、卫生健康、市场监管、应急等部门对园所、食品、卫生、校车、消防等方面的安全监管责任；2.卫生健康、市场监管等部门要结合幼儿园工作实际，加强对幼儿园卫生保健、食品安全和传染病防控等工作的指导和监管；3.严格按照《校车安全管理条例》加强幼儿园接送幼儿车辆管理。</w:t>
            </w:r>
          </w:p>
        </w:tc>
        <w:tc>
          <w:tcPr>
            <w:tcW w:w="1265" w:type="dxa"/>
            <w:tcBorders>
              <w:top w:val="nil"/>
              <w:left w:val="nil"/>
              <w:bottom w:val="single" w:color="231F20" w:sz="8"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教育局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p>
        </w:tc>
        <w:tc>
          <w:tcPr>
            <w:tcW w:w="1147" w:type="dxa"/>
            <w:tcBorders>
              <w:top w:val="nil"/>
              <w:left w:val="single" w:color="auto" w:sz="4" w:space="0"/>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公安局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住建局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卫健体局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市场监管局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应急局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交通运输局</w:t>
            </w:r>
          </w:p>
        </w:tc>
        <w:tc>
          <w:tcPr>
            <w:tcW w:w="1228"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2028年2月</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09" w:hRule="atLeast"/>
          <w:tblCellSpacing w:w="0" w:type="dxa"/>
        </w:trPr>
        <w:tc>
          <w:tcPr>
            <w:tcW w:w="1117" w:type="dxa"/>
            <w:vMerge w:val="continue"/>
            <w:tcBorders>
              <w:top w:val="nil"/>
              <w:left w:val="single" w:color="231F20" w:sz="8" w:space="0"/>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1383" w:type="dxa"/>
            <w:vMerge w:val="continue"/>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2067"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22.无较大社会影响的安全责任事故</w:t>
            </w:r>
          </w:p>
        </w:tc>
        <w:tc>
          <w:tcPr>
            <w:tcW w:w="6484"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2年内无较大社会影响的安全责任事故。</w:t>
            </w:r>
          </w:p>
        </w:tc>
        <w:tc>
          <w:tcPr>
            <w:tcW w:w="1265" w:type="dxa"/>
            <w:tcBorders>
              <w:top w:val="nil"/>
              <w:left w:val="nil"/>
              <w:bottom w:val="single" w:color="231F20" w:sz="8"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应急局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p>
        </w:tc>
        <w:tc>
          <w:tcPr>
            <w:tcW w:w="1147" w:type="dxa"/>
            <w:tcBorders>
              <w:top w:val="nil"/>
              <w:left w:val="single" w:color="auto" w:sz="4" w:space="0"/>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教育局</w:t>
            </w:r>
          </w:p>
        </w:tc>
        <w:tc>
          <w:tcPr>
            <w:tcW w:w="1228"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2028年2月</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4" w:hRule="atLeast"/>
          <w:tblCellSpacing w:w="0" w:type="dxa"/>
        </w:trPr>
        <w:tc>
          <w:tcPr>
            <w:tcW w:w="1117" w:type="dxa"/>
            <w:vMerge w:val="continue"/>
            <w:tcBorders>
              <w:top w:val="nil"/>
              <w:left w:val="single" w:color="231F20" w:sz="8" w:space="0"/>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1383" w:type="dxa"/>
            <w:vMerge w:val="restart"/>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12.监管制度完善</w:t>
            </w:r>
          </w:p>
        </w:tc>
        <w:tc>
          <w:tcPr>
            <w:tcW w:w="2067"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default"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23.公办幼儿园办理法人登记</w:t>
            </w:r>
          </w:p>
        </w:tc>
        <w:tc>
          <w:tcPr>
            <w:tcW w:w="6484"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制定公办幼儿园纳入机构编制管理文件及公办幼儿园办理法人登记情况。</w:t>
            </w:r>
          </w:p>
        </w:tc>
        <w:tc>
          <w:tcPr>
            <w:tcW w:w="1265" w:type="dxa"/>
            <w:tcBorders>
              <w:top w:val="nil"/>
              <w:left w:val="nil"/>
              <w:bottom w:val="single" w:color="231F20" w:sz="8"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编  办</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p>
        </w:tc>
        <w:tc>
          <w:tcPr>
            <w:tcW w:w="1147" w:type="dxa"/>
            <w:tcBorders>
              <w:top w:val="nil"/>
              <w:left w:val="single" w:color="auto" w:sz="4" w:space="0"/>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教育局</w:t>
            </w:r>
          </w:p>
        </w:tc>
        <w:tc>
          <w:tcPr>
            <w:tcW w:w="1228"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2026年3月</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63" w:hRule="atLeast"/>
          <w:tblCellSpacing w:w="0" w:type="dxa"/>
        </w:trPr>
        <w:tc>
          <w:tcPr>
            <w:tcW w:w="1117" w:type="dxa"/>
            <w:vMerge w:val="continue"/>
            <w:tcBorders>
              <w:top w:val="nil"/>
              <w:left w:val="single" w:color="231F20" w:sz="8" w:space="0"/>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1383" w:type="dxa"/>
            <w:vMerge w:val="continue"/>
            <w:tcBorders>
              <w:left w:val="nil"/>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2067"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24.对民办幼儿园审批严格执行“先证后照”制度，完善年检制度。</w:t>
            </w:r>
          </w:p>
        </w:tc>
        <w:tc>
          <w:tcPr>
            <w:tcW w:w="6484"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1.落实幼儿园准入管理，民办园审批严格执行“先证后照”制度；2.公办园按照国家相关规定进行事业单位登记；3.各级各类幼儿园的审批设立应严格执行当地布局规划。</w:t>
            </w:r>
          </w:p>
        </w:tc>
        <w:tc>
          <w:tcPr>
            <w:tcW w:w="1265" w:type="dxa"/>
            <w:tcBorders>
              <w:top w:val="nil"/>
              <w:left w:val="nil"/>
              <w:bottom w:val="single" w:color="231F20" w:sz="8"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行政审批局</w:t>
            </w:r>
          </w:p>
        </w:tc>
        <w:tc>
          <w:tcPr>
            <w:tcW w:w="1147" w:type="dxa"/>
            <w:tcBorders>
              <w:top w:val="nil"/>
              <w:left w:val="single" w:color="auto" w:sz="4" w:space="0"/>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教育局</w:t>
            </w:r>
          </w:p>
        </w:tc>
        <w:tc>
          <w:tcPr>
            <w:tcW w:w="1228"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2026年3月</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35" w:hRule="atLeast"/>
          <w:tblCellSpacing w:w="0" w:type="dxa"/>
        </w:trPr>
        <w:tc>
          <w:tcPr>
            <w:tcW w:w="1117" w:type="dxa"/>
            <w:vMerge w:val="continue"/>
            <w:tcBorders>
              <w:top w:val="nil"/>
              <w:left w:val="single" w:color="231F20" w:sz="8" w:space="0"/>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1383" w:type="dxa"/>
            <w:vMerge w:val="continue"/>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2067"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25.落实幼儿园基本信息备案及公示制度。</w:t>
            </w:r>
          </w:p>
        </w:tc>
        <w:tc>
          <w:tcPr>
            <w:tcW w:w="6484"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完善幼儿园年检制度，落实幼儿园基本信息备案及政府网站公示制度。</w:t>
            </w:r>
          </w:p>
        </w:tc>
        <w:tc>
          <w:tcPr>
            <w:tcW w:w="1265" w:type="dxa"/>
            <w:tcBorders>
              <w:top w:val="nil"/>
              <w:left w:val="nil"/>
              <w:bottom w:val="single" w:color="231F20" w:sz="8"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教育局</w:t>
            </w:r>
          </w:p>
        </w:tc>
        <w:tc>
          <w:tcPr>
            <w:tcW w:w="1147" w:type="dxa"/>
            <w:tcBorders>
              <w:top w:val="nil"/>
              <w:left w:val="single" w:color="auto" w:sz="4" w:space="0"/>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p>
        </w:tc>
        <w:tc>
          <w:tcPr>
            <w:tcW w:w="1228"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2026年2月</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235" w:hRule="atLeast"/>
          <w:tblCellSpacing w:w="0" w:type="dxa"/>
        </w:trPr>
        <w:tc>
          <w:tcPr>
            <w:tcW w:w="1117" w:type="dxa"/>
            <w:vMerge w:val="continue"/>
            <w:tcBorders>
              <w:top w:val="nil"/>
              <w:left w:val="single" w:color="231F20" w:sz="8" w:space="0"/>
              <w:bottom w:val="single" w:color="auto" w:sz="8" w:space="0"/>
              <w:right w:val="single" w:color="231F20" w:sz="8" w:space="0"/>
            </w:tcBorders>
            <w:shd w:val="clear" w:color="auto" w:fill="auto"/>
            <w:tcMar>
              <w:left w:w="57" w:type="dxa"/>
              <w:right w:w="57" w:type="dxa"/>
            </w:tcMar>
            <w:vAlign w:val="center"/>
          </w:tcPr>
          <w:p>
            <w:pPr>
              <w:rPr>
                <w:rFonts w:hint="eastAsia" w:ascii="微软雅黑" w:hAnsi="微软雅黑" w:eastAsia="微软雅黑" w:cs="微软雅黑"/>
                <w:sz w:val="24"/>
                <w:szCs w:val="24"/>
              </w:rPr>
            </w:pPr>
          </w:p>
        </w:tc>
        <w:tc>
          <w:tcPr>
            <w:tcW w:w="1383" w:type="dxa"/>
            <w:vMerge w:val="continue"/>
            <w:tcBorders>
              <w:top w:val="nil"/>
              <w:left w:val="nil"/>
              <w:bottom w:val="single" w:color="auto" w:sz="8" w:space="0"/>
              <w:right w:val="single" w:color="231F20" w:sz="8" w:space="0"/>
            </w:tcBorders>
            <w:shd w:val="clear" w:color="auto" w:fill="auto"/>
            <w:tcMar>
              <w:left w:w="57" w:type="dxa"/>
              <w:right w:w="57" w:type="dxa"/>
            </w:tcMar>
            <w:vAlign w:val="center"/>
          </w:tcPr>
          <w:p>
            <w:pPr>
              <w:rPr>
                <w:rFonts w:hint="eastAsia" w:ascii="微软雅黑" w:hAnsi="微软雅黑" w:eastAsia="微软雅黑" w:cs="微软雅黑"/>
                <w:sz w:val="24"/>
                <w:szCs w:val="24"/>
              </w:rPr>
            </w:pPr>
          </w:p>
        </w:tc>
        <w:tc>
          <w:tcPr>
            <w:tcW w:w="2067"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26.建立3年—5年一轮覆盖所有幼儿园的办园行为督导评估制度。</w:t>
            </w:r>
          </w:p>
        </w:tc>
        <w:tc>
          <w:tcPr>
            <w:tcW w:w="6484"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1.建立3—5年一轮覆盖所有幼儿园的办园行为督导评估制度，并按照计划开展督导评估工作， 督导经费保障到位；2.建立幼儿园责任督学挂牌督导制度， 县域内经审批的幼儿园均实现责任督学挂牌督导。</w:t>
            </w:r>
          </w:p>
        </w:tc>
        <w:tc>
          <w:tcPr>
            <w:tcW w:w="1265" w:type="dxa"/>
            <w:tcBorders>
              <w:top w:val="nil"/>
              <w:left w:val="nil"/>
              <w:bottom w:val="single" w:color="231F20" w:sz="8"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教育局</w:t>
            </w:r>
          </w:p>
        </w:tc>
        <w:tc>
          <w:tcPr>
            <w:tcW w:w="1147" w:type="dxa"/>
            <w:tcBorders>
              <w:top w:val="nil"/>
              <w:left w:val="single" w:color="auto" w:sz="4" w:space="0"/>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各乡镇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p>
        </w:tc>
        <w:tc>
          <w:tcPr>
            <w:tcW w:w="1228"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2026年2月</w:t>
            </w:r>
          </w:p>
        </w:tc>
      </w:tr>
    </w:tbl>
    <w:tbl>
      <w:tblPr>
        <w:tblStyle w:val="7"/>
        <w:tblpPr w:leftFromText="180" w:rightFromText="180" w:vertAnchor="text" w:horzAnchor="page" w:tblpX="1149" w:tblpY="257"/>
        <w:tblOverlap w:val="never"/>
        <w:tblW w:w="14735" w:type="dxa"/>
        <w:tblCellSpacing w:w="0" w:type="dxa"/>
        <w:tblInd w:w="0" w:type="dxa"/>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540"/>
        <w:gridCol w:w="1283"/>
        <w:gridCol w:w="2669"/>
        <w:gridCol w:w="5740"/>
        <w:gridCol w:w="960"/>
        <w:gridCol w:w="1275"/>
        <w:gridCol w:w="1268"/>
      </w:tblGrid>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78" w:hRule="atLeast"/>
          <w:tblCellSpacing w:w="0" w:type="dxa"/>
        </w:trPr>
        <w:tc>
          <w:tcPr>
            <w:tcW w:w="1540" w:type="dxa"/>
            <w:tcBorders>
              <w:top w:val="single" w:color="231F20" w:sz="8" w:space="0"/>
              <w:left w:val="single" w:color="231F20" w:sz="8" w:space="0"/>
              <w:bottom w:val="single" w:color="231F20" w:sz="8" w:space="0"/>
              <w:right w:val="single" w:color="231F20" w:sz="8" w:space="0"/>
            </w:tcBorders>
            <w:shd w:val="clear" w:color="auto" w:fill="auto"/>
            <w:tcMar>
              <w:left w:w="57" w:type="dxa"/>
              <w:right w:w="57"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105" w:right="-105"/>
              <w:jc w:val="center"/>
              <w:rPr>
                <w:rFonts w:hint="eastAsia" w:ascii="微软雅黑" w:hAnsi="微软雅黑" w:eastAsia="微软雅黑" w:cs="微软雅黑"/>
                <w:sz w:val="24"/>
                <w:szCs w:val="24"/>
              </w:rPr>
            </w:pPr>
            <w:r>
              <w:rPr>
                <w:rFonts w:hint="eastAsia" w:ascii="微软雅黑" w:hAnsi="微软雅黑" w:eastAsia="微软雅黑" w:cs="微软雅黑"/>
                <w:spacing w:val="13"/>
                <w:sz w:val="24"/>
                <w:szCs w:val="24"/>
                <w:lang w:val="en-US"/>
              </w:rPr>
              <w:t>一级指标</w:t>
            </w:r>
          </w:p>
        </w:tc>
        <w:tc>
          <w:tcPr>
            <w:tcW w:w="1283" w:type="dxa"/>
            <w:tcBorders>
              <w:top w:val="single" w:color="231F20" w:sz="8" w:space="0"/>
              <w:left w:val="nil"/>
              <w:bottom w:val="single" w:color="231F20" w:sz="8" w:space="0"/>
              <w:right w:val="single" w:color="231F20" w:sz="8" w:space="0"/>
            </w:tcBorders>
            <w:shd w:val="clear" w:color="auto" w:fill="auto"/>
            <w:tcMar>
              <w:left w:w="57" w:type="dxa"/>
              <w:right w:w="57"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105" w:right="-105"/>
              <w:jc w:val="center"/>
              <w:rPr>
                <w:rFonts w:hint="eastAsia" w:ascii="微软雅黑" w:hAnsi="微软雅黑" w:eastAsia="微软雅黑" w:cs="微软雅黑"/>
                <w:sz w:val="24"/>
                <w:szCs w:val="24"/>
              </w:rPr>
            </w:pPr>
            <w:r>
              <w:rPr>
                <w:rFonts w:hint="eastAsia" w:ascii="微软雅黑" w:hAnsi="微软雅黑" w:eastAsia="微软雅黑" w:cs="微软雅黑"/>
                <w:spacing w:val="13"/>
                <w:sz w:val="24"/>
                <w:szCs w:val="24"/>
                <w:lang w:val="en-US"/>
              </w:rPr>
              <w:t>二级指标</w:t>
            </w:r>
          </w:p>
        </w:tc>
        <w:tc>
          <w:tcPr>
            <w:tcW w:w="2669" w:type="dxa"/>
            <w:tcBorders>
              <w:top w:val="single" w:color="231F20" w:sz="8" w:space="0"/>
              <w:left w:val="nil"/>
              <w:bottom w:val="single" w:color="231F20" w:sz="8" w:space="0"/>
              <w:right w:val="single" w:color="231F20" w:sz="8" w:space="0"/>
            </w:tcBorders>
            <w:shd w:val="clear" w:color="auto" w:fill="auto"/>
            <w:tcMar>
              <w:left w:w="57" w:type="dxa"/>
              <w:right w:w="57"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105" w:right="-105"/>
              <w:jc w:val="center"/>
              <w:rPr>
                <w:rFonts w:hint="eastAsia" w:ascii="微软雅黑" w:hAnsi="微软雅黑" w:eastAsia="微软雅黑" w:cs="微软雅黑"/>
                <w:sz w:val="24"/>
                <w:szCs w:val="24"/>
              </w:rPr>
            </w:pPr>
            <w:r>
              <w:rPr>
                <w:rFonts w:hint="eastAsia" w:ascii="微软雅黑" w:hAnsi="微软雅黑" w:eastAsia="微软雅黑" w:cs="微软雅黑"/>
                <w:spacing w:val="13"/>
                <w:sz w:val="24"/>
                <w:szCs w:val="24"/>
                <w:lang w:val="en-US"/>
              </w:rPr>
              <w:t>三级指标</w:t>
            </w:r>
          </w:p>
        </w:tc>
        <w:tc>
          <w:tcPr>
            <w:tcW w:w="5740" w:type="dxa"/>
            <w:tcBorders>
              <w:top w:val="single" w:color="231F20" w:sz="8" w:space="0"/>
              <w:left w:val="nil"/>
              <w:bottom w:val="single" w:color="231F20" w:sz="8" w:space="0"/>
              <w:right w:val="single" w:color="231F20" w:sz="8" w:space="0"/>
            </w:tcBorders>
            <w:shd w:val="clear" w:color="auto" w:fill="auto"/>
            <w:tcMar>
              <w:left w:w="57" w:type="dxa"/>
              <w:right w:w="57"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105" w:right="-105"/>
              <w:jc w:val="center"/>
              <w:rPr>
                <w:rFonts w:hint="eastAsia" w:ascii="微软雅黑" w:hAnsi="微软雅黑" w:eastAsia="微软雅黑" w:cs="微软雅黑"/>
                <w:sz w:val="24"/>
                <w:szCs w:val="24"/>
                <w:lang w:eastAsia="zh-CN"/>
              </w:rPr>
            </w:pPr>
            <w:r>
              <w:rPr>
                <w:rFonts w:hint="eastAsia" w:ascii="微软雅黑" w:hAnsi="微软雅黑" w:eastAsia="微软雅黑" w:cs="微软雅黑"/>
                <w:spacing w:val="13"/>
                <w:sz w:val="24"/>
                <w:szCs w:val="24"/>
                <w:lang w:val="en-US" w:eastAsia="zh-CN"/>
              </w:rPr>
              <w:t>任务及标准</w:t>
            </w:r>
          </w:p>
        </w:tc>
        <w:tc>
          <w:tcPr>
            <w:tcW w:w="960" w:type="dxa"/>
            <w:tcBorders>
              <w:top w:val="single" w:color="231F20" w:sz="8" w:space="0"/>
              <w:left w:val="nil"/>
              <w:bottom w:val="single" w:color="231F20" w:sz="8" w:space="0"/>
              <w:right w:val="single" w:color="auto" w:sz="4" w:space="0"/>
            </w:tcBorders>
            <w:shd w:val="clear" w:color="auto" w:fill="auto"/>
            <w:tcMar>
              <w:left w:w="57" w:type="dxa"/>
              <w:right w:w="57"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pacing w:val="13"/>
                <w:sz w:val="24"/>
                <w:szCs w:val="24"/>
                <w:lang w:eastAsia="zh-CN"/>
              </w:rPr>
            </w:pPr>
            <w:r>
              <w:rPr>
                <w:rFonts w:hint="eastAsia" w:ascii="微软雅黑" w:hAnsi="微软雅黑" w:eastAsia="微软雅黑" w:cs="微软雅黑"/>
                <w:spacing w:val="13"/>
                <w:sz w:val="24"/>
                <w:szCs w:val="24"/>
                <w:lang w:eastAsia="zh-CN"/>
              </w:rPr>
              <w:t>牵头</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z w:val="24"/>
                <w:szCs w:val="24"/>
              </w:rPr>
            </w:pPr>
            <w:r>
              <w:rPr>
                <w:rFonts w:hint="eastAsia" w:ascii="微软雅黑" w:hAnsi="微软雅黑" w:eastAsia="微软雅黑" w:cs="微软雅黑"/>
                <w:spacing w:val="13"/>
                <w:sz w:val="24"/>
                <w:szCs w:val="24"/>
              </w:rPr>
              <w:t>单位</w:t>
            </w:r>
          </w:p>
        </w:tc>
        <w:tc>
          <w:tcPr>
            <w:tcW w:w="1275" w:type="dxa"/>
            <w:tcBorders>
              <w:top w:val="single" w:color="231F20" w:sz="8" w:space="0"/>
              <w:left w:val="single" w:color="auto" w:sz="4" w:space="0"/>
              <w:bottom w:val="single" w:color="231F20" w:sz="8" w:space="0"/>
              <w:right w:val="single" w:color="231F20" w:sz="8" w:space="0"/>
            </w:tcBorders>
            <w:shd w:val="clear" w:color="auto" w:fill="auto"/>
            <w:tcMar>
              <w:left w:w="57" w:type="dxa"/>
              <w:right w:w="57"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pacing w:val="13"/>
                <w:sz w:val="24"/>
                <w:szCs w:val="24"/>
                <w:lang w:eastAsia="zh-CN"/>
              </w:rPr>
            </w:pPr>
            <w:r>
              <w:rPr>
                <w:rFonts w:hint="eastAsia" w:ascii="微软雅黑" w:hAnsi="微软雅黑" w:eastAsia="微软雅黑" w:cs="微软雅黑"/>
                <w:spacing w:val="13"/>
                <w:kern w:val="0"/>
                <w:sz w:val="24"/>
                <w:szCs w:val="24"/>
                <w:lang w:val="en-US" w:eastAsia="zh-CN" w:bidi="ar"/>
              </w:rPr>
              <w:t>责任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pacing w:val="13"/>
                <w:sz w:val="24"/>
                <w:szCs w:val="24"/>
                <w:lang w:eastAsia="zh-CN"/>
              </w:rPr>
            </w:pPr>
            <w:r>
              <w:rPr>
                <w:rFonts w:hint="eastAsia" w:ascii="微软雅黑" w:hAnsi="微软雅黑" w:eastAsia="微软雅黑" w:cs="微软雅黑"/>
                <w:spacing w:val="13"/>
                <w:sz w:val="24"/>
                <w:szCs w:val="24"/>
                <w:lang w:eastAsia="zh-CN"/>
              </w:rPr>
              <w:t>单位</w:t>
            </w:r>
          </w:p>
        </w:tc>
        <w:tc>
          <w:tcPr>
            <w:tcW w:w="1268" w:type="dxa"/>
            <w:tcBorders>
              <w:top w:val="single" w:color="231F20" w:sz="8" w:space="0"/>
              <w:left w:val="nil"/>
              <w:bottom w:val="single" w:color="231F20" w:sz="8" w:space="0"/>
              <w:right w:val="single" w:color="231F20" w:sz="8" w:space="0"/>
            </w:tcBorders>
            <w:shd w:val="clear" w:color="auto" w:fill="auto"/>
            <w:tcMar>
              <w:left w:w="57" w:type="dxa"/>
              <w:right w:w="57"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pacing w:val="13"/>
                <w:sz w:val="24"/>
                <w:szCs w:val="24"/>
              </w:rPr>
            </w:pPr>
            <w:r>
              <w:rPr>
                <w:rFonts w:hint="eastAsia" w:ascii="微软雅黑" w:hAnsi="微软雅黑" w:eastAsia="微软雅黑" w:cs="微软雅黑"/>
                <w:spacing w:val="13"/>
                <w:sz w:val="24"/>
                <w:szCs w:val="24"/>
              </w:rPr>
              <w:t>完成</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z w:val="24"/>
                <w:szCs w:val="24"/>
              </w:rPr>
            </w:pPr>
            <w:r>
              <w:rPr>
                <w:rFonts w:hint="eastAsia" w:ascii="微软雅黑" w:hAnsi="微软雅黑" w:eastAsia="微软雅黑" w:cs="微软雅黑"/>
                <w:spacing w:val="13"/>
                <w:sz w:val="24"/>
                <w:szCs w:val="24"/>
              </w:rPr>
              <w:t>时限</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78" w:hRule="atLeast"/>
          <w:tblCellSpacing w:w="0" w:type="dxa"/>
        </w:trPr>
        <w:tc>
          <w:tcPr>
            <w:tcW w:w="1540" w:type="dxa"/>
            <w:vMerge w:val="restart"/>
            <w:tcBorders>
              <w:top w:val="single" w:color="231F20" w:sz="8" w:space="0"/>
              <w:left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3.幼儿园保教质量保障情况</w:t>
            </w:r>
          </w:p>
        </w:tc>
        <w:tc>
          <w:tcPr>
            <w:tcW w:w="1283" w:type="dxa"/>
            <w:vMerge w:val="restart"/>
            <w:tcBorders>
              <w:top w:val="single" w:color="231F20" w:sz="8" w:space="0"/>
              <w:left w:val="nil"/>
              <w:right w:val="single" w:color="231F20" w:sz="8" w:space="0"/>
            </w:tcBorders>
            <w:shd w:val="clear" w:color="auto" w:fill="auto"/>
            <w:tcMar>
              <w:left w:w="57" w:type="dxa"/>
              <w:right w:w="57"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pacing w:val="13"/>
                <w:sz w:val="24"/>
                <w:szCs w:val="24"/>
                <w:lang w:val="en-US"/>
              </w:rPr>
            </w:pPr>
            <w:r>
              <w:rPr>
                <w:rFonts w:hint="eastAsia" w:ascii="微软雅黑" w:hAnsi="微软雅黑" w:eastAsia="微软雅黑" w:cs="微软雅黑"/>
                <w:kern w:val="0"/>
                <w:sz w:val="20"/>
                <w:szCs w:val="20"/>
                <w:lang w:val="en-US" w:eastAsia="zh-CN" w:bidi="ar"/>
              </w:rPr>
              <w:t>12.监管制度完善</w:t>
            </w:r>
          </w:p>
        </w:tc>
        <w:tc>
          <w:tcPr>
            <w:tcW w:w="2669" w:type="dxa"/>
            <w:tcBorders>
              <w:top w:val="single" w:color="auto" w:sz="4" w:space="0"/>
              <w:left w:val="single" w:color="auto" w:sz="4" w:space="0"/>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leftChars="0" w:right="0" w:rightChars="0"/>
              <w:jc w:val="left"/>
              <w:textAlignment w:val="auto"/>
              <w:rPr>
                <w:rFonts w:hint="eastAsia" w:ascii="微软雅黑" w:hAnsi="微软雅黑" w:eastAsia="微软雅黑" w:cs="微软雅黑"/>
                <w:kern w:val="2"/>
                <w:sz w:val="22"/>
                <w:szCs w:val="22"/>
                <w:lang w:val="en-US" w:eastAsia="zh-CN" w:bidi="ar-SA"/>
              </w:rPr>
            </w:pPr>
            <w:r>
              <w:rPr>
                <w:rFonts w:hint="eastAsia" w:ascii="微软雅黑" w:hAnsi="微软雅黑" w:eastAsia="微软雅黑" w:cs="微软雅黑"/>
                <w:kern w:val="0"/>
                <w:sz w:val="20"/>
                <w:szCs w:val="20"/>
                <w:lang w:val="en-US" w:eastAsia="zh-CN" w:bidi="ar"/>
              </w:rPr>
              <w:t>27.完成无证园治理工作</w:t>
            </w:r>
          </w:p>
        </w:tc>
        <w:tc>
          <w:tcPr>
            <w:tcW w:w="5740" w:type="dxa"/>
            <w:tcBorders>
              <w:top w:val="single" w:color="auto" w:sz="4" w:space="0"/>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leftChars="0" w:right="0" w:rightChars="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1.按照“准入一批、整改一批、整合一批、取缔一批”的原则，分类治理无证办园；2.县域内全面消除无证园。</w:t>
            </w:r>
          </w:p>
        </w:tc>
        <w:tc>
          <w:tcPr>
            <w:tcW w:w="960" w:type="dxa"/>
            <w:tcBorders>
              <w:top w:val="single" w:color="auto" w:sz="4" w:space="0"/>
              <w:left w:val="nil"/>
              <w:bottom w:val="single" w:color="231F20" w:sz="8" w:space="0"/>
              <w:right w:val="single" w:color="auto" w:sz="4"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leftChars="0" w:right="0" w:rightChars="0"/>
              <w:jc w:val="center"/>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教育局</w:t>
            </w:r>
          </w:p>
        </w:tc>
        <w:tc>
          <w:tcPr>
            <w:tcW w:w="1275" w:type="dxa"/>
            <w:tcBorders>
              <w:top w:val="single" w:color="auto" w:sz="4" w:space="0"/>
              <w:left w:val="single" w:color="auto" w:sz="4" w:space="0"/>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公安局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行政审批局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市场监管局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消防队</w:t>
            </w:r>
          </w:p>
        </w:tc>
        <w:tc>
          <w:tcPr>
            <w:tcW w:w="1268" w:type="dxa"/>
            <w:tcBorders>
              <w:top w:val="single" w:color="auto" w:sz="4" w:space="0"/>
              <w:left w:val="nil"/>
              <w:bottom w:val="single" w:color="231F20" w:sz="8" w:space="0"/>
              <w:right w:val="single" w:color="auto" w:sz="4" w:space="0"/>
            </w:tcBorders>
            <w:shd w:val="clear" w:color="auto" w:fill="auto"/>
            <w:tcMar>
              <w:left w:w="57" w:type="dxa"/>
              <w:right w:w="57"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pacing w:val="13"/>
                <w:sz w:val="24"/>
                <w:szCs w:val="24"/>
              </w:rPr>
            </w:pPr>
            <w:r>
              <w:rPr>
                <w:rFonts w:hint="eastAsia" w:ascii="微软雅黑" w:hAnsi="微软雅黑" w:eastAsia="微软雅黑" w:cs="微软雅黑"/>
                <w:kern w:val="0"/>
                <w:sz w:val="20"/>
                <w:szCs w:val="20"/>
                <w:lang w:val="en-US" w:eastAsia="zh-CN" w:bidi="ar"/>
              </w:rPr>
              <w:t>2028年2月</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78" w:hRule="atLeast"/>
          <w:tblCellSpacing w:w="0" w:type="dxa"/>
        </w:trPr>
        <w:tc>
          <w:tcPr>
            <w:tcW w:w="1540" w:type="dxa"/>
            <w:vMerge w:val="continue"/>
            <w:tcBorders>
              <w:left w:val="single" w:color="231F20" w:sz="8" w:space="0"/>
              <w:right w:val="single" w:color="231F20" w:sz="8" w:space="0"/>
            </w:tcBorders>
            <w:shd w:val="clear" w:color="auto" w:fill="auto"/>
            <w:tcMar>
              <w:left w:w="57" w:type="dxa"/>
              <w:right w:w="57"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105" w:right="-105"/>
              <w:jc w:val="center"/>
              <w:rPr>
                <w:rFonts w:hint="eastAsia" w:ascii="微软雅黑" w:hAnsi="微软雅黑" w:eastAsia="微软雅黑" w:cs="微软雅黑"/>
                <w:spacing w:val="13"/>
                <w:sz w:val="24"/>
                <w:szCs w:val="24"/>
                <w:lang w:val="en-US"/>
              </w:rPr>
            </w:pPr>
          </w:p>
        </w:tc>
        <w:tc>
          <w:tcPr>
            <w:tcW w:w="1283" w:type="dxa"/>
            <w:vMerge w:val="continue"/>
            <w:tcBorders>
              <w:left w:val="nil"/>
              <w:bottom w:val="single" w:color="231F20" w:sz="8" w:space="0"/>
              <w:right w:val="single" w:color="231F20" w:sz="8" w:space="0"/>
            </w:tcBorders>
            <w:shd w:val="clear" w:color="auto" w:fill="auto"/>
            <w:tcMar>
              <w:left w:w="57" w:type="dxa"/>
              <w:right w:w="57"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105" w:right="-105"/>
              <w:jc w:val="center"/>
              <w:rPr>
                <w:rFonts w:hint="eastAsia" w:ascii="微软雅黑" w:hAnsi="微软雅黑" w:eastAsia="微软雅黑" w:cs="微软雅黑"/>
                <w:spacing w:val="13"/>
                <w:sz w:val="24"/>
                <w:szCs w:val="24"/>
                <w:lang w:val="en-US"/>
              </w:rPr>
            </w:pPr>
          </w:p>
        </w:tc>
        <w:tc>
          <w:tcPr>
            <w:tcW w:w="2669" w:type="dxa"/>
            <w:tcBorders>
              <w:top w:val="single" w:color="231F20" w:sz="8" w:space="0"/>
              <w:left w:val="single" w:color="auto" w:sz="4" w:space="0"/>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leftChars="0" w:right="0" w:rightChars="0"/>
              <w:jc w:val="left"/>
              <w:textAlignment w:val="auto"/>
              <w:rPr>
                <w:rFonts w:hint="eastAsia" w:ascii="微软雅黑" w:hAnsi="微软雅黑" w:eastAsia="微软雅黑" w:cs="微软雅黑"/>
                <w:kern w:val="2"/>
                <w:sz w:val="22"/>
                <w:szCs w:val="22"/>
                <w:lang w:val="en-US" w:eastAsia="zh-CN" w:bidi="ar-SA"/>
              </w:rPr>
            </w:pPr>
            <w:r>
              <w:rPr>
                <w:rFonts w:hint="eastAsia" w:ascii="微软雅黑" w:hAnsi="微软雅黑" w:eastAsia="微软雅黑" w:cs="微软雅黑"/>
                <w:kern w:val="0"/>
                <w:sz w:val="20"/>
                <w:szCs w:val="20"/>
                <w:lang w:val="en-US" w:eastAsia="zh-CN" w:bidi="ar"/>
              </w:rPr>
              <w:t>28.民办园没有上市、过度逐利等行为</w:t>
            </w:r>
          </w:p>
        </w:tc>
        <w:tc>
          <w:tcPr>
            <w:tcW w:w="5740" w:type="dxa"/>
            <w:tcBorders>
              <w:top w:val="single" w:color="231F20" w:sz="8" w:space="0"/>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leftChars="0" w:right="0" w:rightChars="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1.民办园没有上市，2.制定遏制民办园过度逐利情况的文件通知等过程性文件。</w:t>
            </w:r>
          </w:p>
        </w:tc>
        <w:tc>
          <w:tcPr>
            <w:tcW w:w="960" w:type="dxa"/>
            <w:tcBorders>
              <w:top w:val="single" w:color="231F20" w:sz="8" w:space="0"/>
              <w:left w:val="nil"/>
              <w:bottom w:val="single" w:color="231F20" w:sz="8" w:space="0"/>
              <w:right w:val="single" w:color="auto" w:sz="4"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leftChars="0" w:right="0" w:rightChars="0"/>
              <w:jc w:val="center"/>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教育局</w:t>
            </w:r>
          </w:p>
        </w:tc>
        <w:tc>
          <w:tcPr>
            <w:tcW w:w="1275" w:type="dxa"/>
            <w:tcBorders>
              <w:top w:val="single" w:color="231F20" w:sz="8" w:space="0"/>
              <w:left w:val="single" w:color="auto" w:sz="4" w:space="0"/>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1268" w:type="dxa"/>
            <w:tcBorders>
              <w:top w:val="single" w:color="231F20" w:sz="8" w:space="0"/>
              <w:left w:val="nil"/>
              <w:bottom w:val="single" w:color="231F20" w:sz="8"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2028年2月</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78" w:hRule="atLeast"/>
          <w:tblCellSpacing w:w="0" w:type="dxa"/>
        </w:trPr>
        <w:tc>
          <w:tcPr>
            <w:tcW w:w="1540" w:type="dxa"/>
            <w:vMerge w:val="continue"/>
            <w:tcBorders>
              <w:left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1283" w:type="dxa"/>
            <w:vMerge w:val="restart"/>
            <w:tcBorders>
              <w:top w:val="single" w:color="231F20" w:sz="8" w:space="0"/>
              <w:left w:val="nil"/>
              <w:right w:val="single" w:color="231F20" w:sz="8" w:space="0"/>
            </w:tcBorders>
            <w:shd w:val="clear" w:color="auto" w:fill="auto"/>
            <w:tcMar>
              <w:left w:w="57" w:type="dxa"/>
              <w:right w:w="57"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pacing w:val="13"/>
                <w:sz w:val="24"/>
                <w:szCs w:val="24"/>
                <w:lang w:val="en-US"/>
              </w:rPr>
            </w:pPr>
            <w:r>
              <w:rPr>
                <w:rFonts w:hint="eastAsia" w:ascii="微软雅黑" w:hAnsi="微软雅黑" w:eastAsia="微软雅黑" w:cs="微软雅黑"/>
                <w:kern w:val="0"/>
                <w:sz w:val="20"/>
                <w:szCs w:val="20"/>
                <w:lang w:val="en-US" w:eastAsia="zh-CN" w:bidi="ar"/>
              </w:rPr>
              <w:t>13.办园条件合格</w:t>
            </w:r>
          </w:p>
        </w:tc>
        <w:tc>
          <w:tcPr>
            <w:tcW w:w="2669" w:type="dxa"/>
            <w:tcBorders>
              <w:top w:val="single" w:color="231F20" w:sz="8" w:space="0"/>
              <w:left w:val="single" w:color="auto" w:sz="4" w:space="0"/>
              <w:bottom w:val="single" w:color="auto" w:sz="4"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leftChars="0" w:right="0" w:rightChars="0"/>
              <w:jc w:val="left"/>
              <w:textAlignment w:val="auto"/>
              <w:rPr>
                <w:rFonts w:hint="eastAsia" w:ascii="微软雅黑" w:hAnsi="微软雅黑" w:eastAsia="微软雅黑" w:cs="微软雅黑"/>
                <w:kern w:val="2"/>
                <w:sz w:val="20"/>
                <w:szCs w:val="20"/>
                <w:lang w:val="en-US" w:eastAsia="zh-CN" w:bidi="ar-SA"/>
              </w:rPr>
            </w:pPr>
            <w:r>
              <w:rPr>
                <w:rFonts w:hint="eastAsia" w:ascii="微软雅黑" w:hAnsi="微软雅黑" w:eastAsia="微软雅黑" w:cs="微软雅黑"/>
                <w:kern w:val="0"/>
                <w:sz w:val="20"/>
                <w:szCs w:val="20"/>
                <w:lang w:val="en-US" w:eastAsia="zh-CN" w:bidi="ar"/>
              </w:rPr>
              <w:t>29.幼儿园园舍条件、玩教具和幼儿图书配备普遍达到规定要求。</w:t>
            </w:r>
          </w:p>
        </w:tc>
        <w:tc>
          <w:tcPr>
            <w:tcW w:w="5740" w:type="dxa"/>
            <w:tcBorders>
              <w:top w:val="single" w:color="231F20" w:sz="8" w:space="0"/>
              <w:left w:val="nil"/>
              <w:bottom w:val="single" w:color="auto" w:sz="4"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leftChars="0" w:right="0" w:rightChars="0"/>
              <w:jc w:val="left"/>
              <w:textAlignment w:val="auto"/>
              <w:rPr>
                <w:rFonts w:hint="eastAsia" w:ascii="微软雅黑" w:hAnsi="微软雅黑" w:eastAsia="微软雅黑" w:cs="微软雅黑"/>
                <w:kern w:val="2"/>
                <w:sz w:val="20"/>
                <w:szCs w:val="20"/>
                <w:lang w:val="en-US" w:eastAsia="zh-CN" w:bidi="ar-SA"/>
              </w:rPr>
            </w:pPr>
            <w:r>
              <w:rPr>
                <w:rFonts w:hint="eastAsia" w:ascii="微软雅黑" w:hAnsi="微软雅黑" w:eastAsia="微软雅黑" w:cs="微软雅黑"/>
                <w:kern w:val="0"/>
                <w:sz w:val="20"/>
                <w:szCs w:val="20"/>
                <w:lang w:val="en-US" w:eastAsia="zh-CN" w:bidi="ar"/>
              </w:rPr>
              <w:t>幼儿园园舍条件、玩教具和幼儿图书配备等普遍达到省定办园基本标准。</w:t>
            </w:r>
          </w:p>
        </w:tc>
        <w:tc>
          <w:tcPr>
            <w:tcW w:w="960" w:type="dxa"/>
            <w:tcBorders>
              <w:top w:val="single" w:color="231F20" w:sz="8" w:space="0"/>
              <w:left w:val="nil"/>
              <w:bottom w:val="single" w:color="auto" w:sz="4" w:space="0"/>
              <w:right w:val="single" w:color="auto" w:sz="4" w:space="0"/>
            </w:tcBorders>
            <w:shd w:val="clear" w:color="auto" w:fill="auto"/>
            <w:tcMar>
              <w:left w:w="57" w:type="dxa"/>
              <w:right w:w="57"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教育局</w:t>
            </w:r>
          </w:p>
        </w:tc>
        <w:tc>
          <w:tcPr>
            <w:tcW w:w="1275" w:type="dxa"/>
            <w:tcBorders>
              <w:top w:val="single" w:color="231F20" w:sz="8" w:space="0"/>
              <w:left w:val="single" w:color="auto" w:sz="4" w:space="0"/>
              <w:bottom w:val="single" w:color="auto" w:sz="4" w:space="0"/>
              <w:right w:val="single" w:color="231F20"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leftChars="0" w:right="0" w:rightChars="0"/>
              <w:jc w:val="center"/>
              <w:rPr>
                <w:rFonts w:hint="eastAsia" w:ascii="微软雅黑" w:hAnsi="微软雅黑" w:eastAsia="微软雅黑" w:cs="微软雅黑"/>
                <w:kern w:val="2"/>
                <w:sz w:val="24"/>
                <w:szCs w:val="24"/>
                <w:lang w:val="en-US" w:eastAsia="zh-CN" w:bidi="ar-SA"/>
              </w:rPr>
            </w:pPr>
            <w:r>
              <w:rPr>
                <w:rFonts w:hint="eastAsia" w:ascii="微软雅黑" w:hAnsi="微软雅黑" w:eastAsia="微软雅黑" w:cs="微软雅黑"/>
                <w:kern w:val="0"/>
                <w:sz w:val="20"/>
                <w:szCs w:val="20"/>
                <w:lang w:val="en-US" w:eastAsia="zh-CN" w:bidi="ar"/>
              </w:rPr>
              <w:t>财政局</w:t>
            </w:r>
          </w:p>
        </w:tc>
        <w:tc>
          <w:tcPr>
            <w:tcW w:w="1268" w:type="dxa"/>
            <w:tcBorders>
              <w:top w:val="single" w:color="231F20" w:sz="8"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2028年3月</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78" w:hRule="atLeast"/>
          <w:tblCellSpacing w:w="0" w:type="dxa"/>
        </w:trPr>
        <w:tc>
          <w:tcPr>
            <w:tcW w:w="1540" w:type="dxa"/>
            <w:vMerge w:val="continue"/>
            <w:tcBorders>
              <w:left w:val="single" w:color="231F20" w:sz="8" w:space="0"/>
              <w:right w:val="single" w:color="231F20" w:sz="8" w:space="0"/>
            </w:tcBorders>
            <w:shd w:val="clear" w:color="auto" w:fill="auto"/>
            <w:tcMar>
              <w:left w:w="57" w:type="dxa"/>
              <w:right w:w="57"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105" w:right="-105"/>
              <w:jc w:val="center"/>
              <w:rPr>
                <w:rFonts w:hint="eastAsia" w:ascii="微软雅黑" w:hAnsi="微软雅黑" w:eastAsia="微软雅黑" w:cs="微软雅黑"/>
                <w:spacing w:val="13"/>
                <w:sz w:val="24"/>
                <w:szCs w:val="24"/>
                <w:lang w:val="en-US"/>
              </w:rPr>
            </w:pPr>
          </w:p>
        </w:tc>
        <w:tc>
          <w:tcPr>
            <w:tcW w:w="1283" w:type="dxa"/>
            <w:vMerge w:val="continue"/>
            <w:tcBorders>
              <w:left w:val="nil"/>
              <w:bottom w:val="single" w:color="231F20" w:sz="8" w:space="0"/>
              <w:right w:val="single" w:color="231F20" w:sz="8" w:space="0"/>
            </w:tcBorders>
            <w:shd w:val="clear" w:color="auto" w:fill="auto"/>
            <w:tcMar>
              <w:left w:w="57" w:type="dxa"/>
              <w:right w:w="57"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105" w:right="-105"/>
              <w:jc w:val="center"/>
              <w:rPr>
                <w:rFonts w:hint="eastAsia" w:ascii="微软雅黑" w:hAnsi="微软雅黑" w:eastAsia="微软雅黑" w:cs="微软雅黑"/>
                <w:spacing w:val="13"/>
                <w:sz w:val="24"/>
                <w:szCs w:val="24"/>
                <w:lang w:val="en-US"/>
              </w:rPr>
            </w:pPr>
          </w:p>
        </w:tc>
        <w:tc>
          <w:tcPr>
            <w:tcW w:w="2669" w:type="dxa"/>
            <w:tcBorders>
              <w:top w:val="single" w:color="231F20" w:sz="8" w:space="0"/>
              <w:left w:val="single" w:color="auto" w:sz="4" w:space="0"/>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leftChars="0" w:right="0" w:rightChars="0"/>
              <w:jc w:val="left"/>
              <w:textAlignment w:val="auto"/>
              <w:rPr>
                <w:rFonts w:hint="eastAsia" w:ascii="微软雅黑" w:hAnsi="微软雅黑" w:eastAsia="微软雅黑" w:cs="微软雅黑"/>
                <w:kern w:val="2"/>
                <w:sz w:val="21"/>
                <w:szCs w:val="21"/>
                <w:lang w:val="en-US" w:eastAsia="zh-CN" w:bidi="ar-SA"/>
              </w:rPr>
            </w:pPr>
            <w:r>
              <w:rPr>
                <w:rFonts w:hint="eastAsia" w:ascii="微软雅黑" w:hAnsi="微软雅黑" w:eastAsia="微软雅黑" w:cs="微软雅黑"/>
                <w:kern w:val="0"/>
                <w:sz w:val="21"/>
                <w:szCs w:val="21"/>
                <w:lang w:val="en-US" w:eastAsia="zh-CN" w:bidi="ar"/>
              </w:rPr>
              <w:t>30.2017年后规划</w:t>
            </w:r>
            <w:r>
              <w:rPr>
                <w:rFonts w:hint="eastAsia" w:ascii="微软雅黑" w:hAnsi="微软雅黑" w:eastAsia="微软雅黑" w:cs="微软雅黑"/>
                <w:kern w:val="0"/>
                <w:sz w:val="20"/>
                <w:szCs w:val="20"/>
                <w:lang w:val="en-US" w:eastAsia="zh-CN" w:bidi="ar"/>
              </w:rPr>
              <w:t>设计</w:t>
            </w:r>
            <w:r>
              <w:rPr>
                <w:rFonts w:hint="eastAsia" w:ascii="微软雅黑" w:hAnsi="微软雅黑" w:eastAsia="微软雅黑" w:cs="微软雅黑"/>
                <w:kern w:val="0"/>
                <w:sz w:val="21"/>
                <w:szCs w:val="21"/>
                <w:lang w:val="en-US" w:eastAsia="zh-CN" w:bidi="ar"/>
              </w:rPr>
              <w:t>的幼儿园符合《幼儿园建设标准》（建标175—2016）</w:t>
            </w:r>
          </w:p>
        </w:tc>
        <w:tc>
          <w:tcPr>
            <w:tcW w:w="5740" w:type="dxa"/>
            <w:tcBorders>
              <w:top w:val="single" w:color="231F20" w:sz="8" w:space="0"/>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leftChars="0" w:right="0" w:rightChars="0"/>
              <w:jc w:val="left"/>
              <w:textAlignment w:val="auto"/>
              <w:rPr>
                <w:rFonts w:hint="eastAsia" w:ascii="微软雅黑" w:hAnsi="微软雅黑" w:eastAsia="微软雅黑" w:cs="微软雅黑"/>
                <w:kern w:val="2"/>
                <w:sz w:val="21"/>
                <w:szCs w:val="21"/>
                <w:lang w:val="en-US" w:eastAsia="zh-CN" w:bidi="ar-SA"/>
              </w:rPr>
            </w:pPr>
            <w:r>
              <w:rPr>
                <w:rFonts w:hint="eastAsia" w:ascii="微软雅黑" w:hAnsi="微软雅黑" w:eastAsia="微软雅黑" w:cs="微软雅黑"/>
                <w:kern w:val="0"/>
                <w:sz w:val="21"/>
                <w:szCs w:val="21"/>
                <w:lang w:val="en-US" w:eastAsia="zh-CN" w:bidi="ar"/>
              </w:rPr>
              <w:t>2017年后规划设计的幼儿园达到省定办园基本标准后，园舍条件还应达到3项指标，即“室外游戏场地生均面积不少于4平方米、幼儿活动用房生均建筑面积不少于8.17平方米、生均建筑面积不少于10.44平方米”，2017年前规划设计的要尽快达到此3项指标。</w:t>
            </w:r>
          </w:p>
        </w:tc>
        <w:tc>
          <w:tcPr>
            <w:tcW w:w="960" w:type="dxa"/>
            <w:tcBorders>
              <w:top w:val="single" w:color="231F20" w:sz="8" w:space="0"/>
              <w:left w:val="nil"/>
              <w:bottom w:val="single" w:color="231F20" w:sz="8" w:space="0"/>
              <w:right w:val="single" w:color="auto" w:sz="4" w:space="0"/>
            </w:tcBorders>
            <w:shd w:val="clear" w:color="auto" w:fill="auto"/>
            <w:tcMar>
              <w:left w:w="57" w:type="dxa"/>
              <w:right w:w="57"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教育局</w:t>
            </w:r>
          </w:p>
        </w:tc>
        <w:tc>
          <w:tcPr>
            <w:tcW w:w="1275" w:type="dxa"/>
            <w:tcBorders>
              <w:top w:val="single" w:color="231F20" w:sz="8" w:space="0"/>
              <w:left w:val="single" w:color="auto" w:sz="4" w:space="0"/>
              <w:bottom w:val="single" w:color="231F20" w:sz="8" w:space="0"/>
              <w:right w:val="single" w:color="231F20"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leftChars="0" w:right="0" w:rightChars="0"/>
              <w:jc w:val="center"/>
              <w:rPr>
                <w:rFonts w:hint="eastAsia" w:ascii="微软雅黑" w:hAnsi="微软雅黑" w:eastAsia="微软雅黑" w:cs="微软雅黑"/>
                <w:kern w:val="2"/>
                <w:sz w:val="24"/>
                <w:szCs w:val="24"/>
                <w:lang w:val="en-US" w:eastAsia="zh-CN" w:bidi="ar-SA"/>
              </w:rPr>
            </w:pPr>
            <w:r>
              <w:rPr>
                <w:rFonts w:hint="eastAsia" w:ascii="微软雅黑" w:hAnsi="微软雅黑" w:eastAsia="微软雅黑" w:cs="微软雅黑"/>
                <w:kern w:val="0"/>
                <w:sz w:val="20"/>
                <w:szCs w:val="20"/>
                <w:lang w:val="en-US" w:eastAsia="zh-CN" w:bidi="ar"/>
              </w:rPr>
              <w:t>自然资源局</w:t>
            </w:r>
          </w:p>
        </w:tc>
        <w:tc>
          <w:tcPr>
            <w:tcW w:w="1268" w:type="dxa"/>
            <w:tcBorders>
              <w:top w:val="single" w:color="231F20" w:sz="8" w:space="0"/>
              <w:left w:val="nil"/>
              <w:bottom w:val="single" w:color="231F20" w:sz="8" w:space="0"/>
              <w:right w:val="single" w:color="auto" w:sz="4" w:space="0"/>
            </w:tcBorders>
            <w:shd w:val="clear" w:color="auto" w:fill="auto"/>
            <w:tcMar>
              <w:left w:w="57" w:type="dxa"/>
              <w:right w:w="57"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2028年3月</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78" w:hRule="atLeast"/>
          <w:tblCellSpacing w:w="0" w:type="dxa"/>
        </w:trPr>
        <w:tc>
          <w:tcPr>
            <w:tcW w:w="1540" w:type="dxa"/>
            <w:vMerge w:val="continue"/>
            <w:tcBorders>
              <w:left w:val="single" w:color="231F20" w:sz="8" w:space="0"/>
              <w:right w:val="single" w:color="231F20" w:sz="8" w:space="0"/>
            </w:tcBorders>
            <w:shd w:val="clear" w:color="auto" w:fill="auto"/>
            <w:tcMar>
              <w:left w:w="57" w:type="dxa"/>
              <w:right w:w="57"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105" w:right="-105"/>
              <w:jc w:val="center"/>
              <w:rPr>
                <w:rFonts w:hint="eastAsia" w:ascii="微软雅黑" w:hAnsi="微软雅黑" w:eastAsia="微软雅黑" w:cs="微软雅黑"/>
                <w:spacing w:val="13"/>
                <w:sz w:val="24"/>
                <w:szCs w:val="24"/>
                <w:lang w:val="en-US"/>
              </w:rPr>
            </w:pPr>
          </w:p>
        </w:tc>
        <w:tc>
          <w:tcPr>
            <w:tcW w:w="1283" w:type="dxa"/>
            <w:tcBorders>
              <w:top w:val="single" w:color="231F20" w:sz="8" w:space="0"/>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leftChars="0" w:right="0" w:rightChars="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14.班额普遍达标</w:t>
            </w:r>
          </w:p>
        </w:tc>
        <w:tc>
          <w:tcPr>
            <w:tcW w:w="2669" w:type="dxa"/>
            <w:tcBorders>
              <w:top w:val="single" w:color="231F20" w:sz="8" w:space="0"/>
              <w:left w:val="single" w:color="auto" w:sz="4" w:space="0"/>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leftChars="0" w:right="0" w:rightChars="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31.县域内85%以上的班额符合《幼儿园工作规程》有关规定</w:t>
            </w:r>
          </w:p>
        </w:tc>
        <w:tc>
          <w:tcPr>
            <w:tcW w:w="5740" w:type="dxa"/>
            <w:tcBorders>
              <w:top w:val="single" w:color="231F20" w:sz="8" w:space="0"/>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leftChars="0" w:right="0" w:rightChars="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按照小班25人、中班30人、大班35人、混合班30人的标准，县域内班额未超标班级比例不低于85%。</w:t>
            </w:r>
          </w:p>
        </w:tc>
        <w:tc>
          <w:tcPr>
            <w:tcW w:w="960" w:type="dxa"/>
            <w:tcBorders>
              <w:top w:val="single" w:color="231F20" w:sz="8" w:space="0"/>
              <w:left w:val="nil"/>
              <w:bottom w:val="single" w:color="231F20" w:sz="8" w:space="0"/>
              <w:right w:val="single" w:color="auto" w:sz="4"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leftChars="0" w:right="0" w:rightChars="0"/>
              <w:jc w:val="center"/>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教育局</w:t>
            </w:r>
          </w:p>
        </w:tc>
        <w:tc>
          <w:tcPr>
            <w:tcW w:w="1275" w:type="dxa"/>
            <w:tcBorders>
              <w:top w:val="single" w:color="231F20" w:sz="8" w:space="0"/>
              <w:left w:val="single" w:color="auto" w:sz="4" w:space="0"/>
              <w:bottom w:val="single" w:color="231F20" w:sz="8" w:space="0"/>
              <w:right w:val="single" w:color="231F20"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leftChars="0" w:right="0" w:rightChars="0"/>
              <w:jc w:val="left"/>
              <w:rPr>
                <w:rFonts w:hint="eastAsia" w:ascii="微软雅黑" w:hAnsi="微软雅黑" w:eastAsia="微软雅黑" w:cs="微软雅黑"/>
                <w:kern w:val="0"/>
                <w:sz w:val="20"/>
                <w:szCs w:val="20"/>
                <w:lang w:val="en-US" w:eastAsia="zh-CN" w:bidi="ar"/>
              </w:rPr>
            </w:pPr>
          </w:p>
        </w:tc>
        <w:tc>
          <w:tcPr>
            <w:tcW w:w="1268" w:type="dxa"/>
            <w:tcBorders>
              <w:top w:val="single" w:color="231F20" w:sz="8" w:space="0"/>
              <w:left w:val="nil"/>
              <w:bottom w:val="single" w:color="231F20" w:sz="8" w:space="0"/>
              <w:right w:val="single" w:color="auto" w:sz="4" w:space="0"/>
            </w:tcBorders>
            <w:shd w:val="clear" w:color="auto" w:fill="auto"/>
            <w:tcMar>
              <w:left w:w="57" w:type="dxa"/>
              <w:right w:w="57"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pacing w:val="13"/>
                <w:sz w:val="24"/>
                <w:szCs w:val="24"/>
              </w:rPr>
            </w:pPr>
            <w:r>
              <w:rPr>
                <w:rFonts w:hint="eastAsia" w:ascii="微软雅黑" w:hAnsi="微软雅黑" w:eastAsia="微软雅黑" w:cs="微软雅黑"/>
                <w:kern w:val="0"/>
                <w:sz w:val="20"/>
                <w:szCs w:val="20"/>
                <w:lang w:val="en-US" w:eastAsia="zh-CN" w:bidi="ar"/>
              </w:rPr>
              <w:t>2028年3月</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537" w:hRule="atLeast"/>
          <w:tblCellSpacing w:w="0" w:type="dxa"/>
        </w:trPr>
        <w:tc>
          <w:tcPr>
            <w:tcW w:w="1540" w:type="dxa"/>
            <w:vMerge w:val="continue"/>
            <w:tcBorders>
              <w:left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1283" w:type="dxa"/>
            <w:tcBorders>
              <w:top w:val="nil"/>
              <w:left w:val="nil"/>
              <w:bottom w:val="nil"/>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15.教师配足配齐</w:t>
            </w:r>
          </w:p>
        </w:tc>
        <w:tc>
          <w:tcPr>
            <w:tcW w:w="2669" w:type="dxa"/>
            <w:tcBorders>
              <w:top w:val="nil"/>
              <w:left w:val="single" w:color="auto" w:sz="4" w:space="0"/>
              <w:bottom w:val="single" w:color="auto" w:sz="4"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32.按《幼儿园教职工配备标准（暂行）》配足配齐各类幼儿园教职工。</w:t>
            </w:r>
          </w:p>
        </w:tc>
        <w:tc>
          <w:tcPr>
            <w:tcW w:w="5740" w:type="dxa"/>
            <w:tcBorders>
              <w:top w:val="nil"/>
              <w:left w:val="nil"/>
              <w:bottom w:val="single" w:color="auto" w:sz="4"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严格落实《幼儿园教职工配备标准（暂行）》，按照要求配足配齐专任教师、保育员、兼职或专职卫生保健人员等教职工。</w:t>
            </w:r>
          </w:p>
        </w:tc>
        <w:tc>
          <w:tcPr>
            <w:tcW w:w="960" w:type="dxa"/>
            <w:tcBorders>
              <w:top w:val="nil"/>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编  办</w:t>
            </w:r>
          </w:p>
        </w:tc>
        <w:tc>
          <w:tcPr>
            <w:tcW w:w="1275" w:type="dxa"/>
            <w:tcBorders>
              <w:top w:val="nil"/>
              <w:left w:val="single" w:color="auto" w:sz="4" w:space="0"/>
              <w:bottom w:val="single" w:color="auto" w:sz="4"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教育局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人社局</w:t>
            </w:r>
          </w:p>
        </w:tc>
        <w:tc>
          <w:tcPr>
            <w:tcW w:w="1268" w:type="dxa"/>
            <w:tcBorders>
              <w:top w:val="nil"/>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2028年2月</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58" w:hRule="atLeast"/>
          <w:tblCellSpacing w:w="0" w:type="dxa"/>
        </w:trPr>
        <w:tc>
          <w:tcPr>
            <w:tcW w:w="1540" w:type="dxa"/>
            <w:tcBorders>
              <w:top w:val="single" w:color="auto" w:sz="4" w:space="0"/>
              <w:left w:val="single" w:color="231F20" w:sz="8" w:space="0"/>
              <w:right w:val="single" w:color="231F20" w:sz="8" w:space="0"/>
            </w:tcBorders>
            <w:shd w:val="clear" w:color="auto" w:fill="auto"/>
            <w:tcMar>
              <w:left w:w="57" w:type="dxa"/>
              <w:right w:w="57"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105" w:leftChars="0" w:right="-105" w:rightChars="0"/>
              <w:jc w:val="center"/>
              <w:rPr>
                <w:rFonts w:hint="eastAsia" w:ascii="微软雅黑" w:hAnsi="微软雅黑" w:eastAsia="微软雅黑" w:cs="微软雅黑"/>
                <w:kern w:val="0"/>
                <w:sz w:val="24"/>
                <w:szCs w:val="24"/>
                <w:lang w:val="en-US" w:eastAsia="zh-CN" w:bidi="ar"/>
              </w:rPr>
            </w:pPr>
            <w:r>
              <w:rPr>
                <w:rFonts w:hint="eastAsia" w:ascii="微软雅黑" w:hAnsi="微软雅黑" w:eastAsia="微软雅黑" w:cs="微软雅黑"/>
                <w:spacing w:val="13"/>
                <w:sz w:val="24"/>
                <w:szCs w:val="24"/>
                <w:lang w:val="en-US"/>
              </w:rPr>
              <w:t>一级指标</w:t>
            </w:r>
          </w:p>
        </w:tc>
        <w:tc>
          <w:tcPr>
            <w:tcW w:w="1283" w:type="dxa"/>
            <w:tcBorders>
              <w:top w:val="single" w:color="auto" w:sz="4" w:space="0"/>
              <w:left w:val="nil"/>
              <w:right w:val="single" w:color="231F20" w:sz="8" w:space="0"/>
            </w:tcBorders>
            <w:shd w:val="clear" w:color="auto" w:fill="auto"/>
            <w:tcMar>
              <w:left w:w="57" w:type="dxa"/>
              <w:right w:w="57"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105" w:leftChars="0" w:right="-105" w:rightChars="0"/>
              <w:jc w:val="center"/>
              <w:rPr>
                <w:rFonts w:hint="eastAsia" w:ascii="微软雅黑" w:hAnsi="微软雅黑" w:eastAsia="微软雅黑" w:cs="微软雅黑"/>
                <w:kern w:val="0"/>
                <w:sz w:val="24"/>
                <w:szCs w:val="24"/>
                <w:lang w:val="en-US" w:eastAsia="zh-CN" w:bidi="ar"/>
              </w:rPr>
            </w:pPr>
            <w:r>
              <w:rPr>
                <w:rFonts w:hint="eastAsia" w:ascii="微软雅黑" w:hAnsi="微软雅黑" w:eastAsia="微软雅黑" w:cs="微软雅黑"/>
                <w:spacing w:val="13"/>
                <w:sz w:val="24"/>
                <w:szCs w:val="24"/>
                <w:lang w:val="en-US"/>
              </w:rPr>
              <w:t>二级指标</w:t>
            </w:r>
          </w:p>
        </w:tc>
        <w:tc>
          <w:tcPr>
            <w:tcW w:w="2669" w:type="dxa"/>
            <w:tcBorders>
              <w:top w:val="nil"/>
              <w:left w:val="nil"/>
              <w:bottom w:val="single" w:color="auto" w:sz="8" w:space="0"/>
              <w:right w:val="single" w:color="231F20" w:sz="8" w:space="0"/>
            </w:tcBorders>
            <w:shd w:val="clear" w:color="auto" w:fill="auto"/>
            <w:tcMar>
              <w:left w:w="57" w:type="dxa"/>
              <w:right w:w="57"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105" w:leftChars="0" w:right="-105" w:rightChars="0"/>
              <w:jc w:val="center"/>
              <w:rPr>
                <w:rFonts w:hint="eastAsia" w:ascii="微软雅黑" w:hAnsi="微软雅黑" w:eastAsia="微软雅黑" w:cs="微软雅黑"/>
                <w:kern w:val="0"/>
                <w:sz w:val="24"/>
                <w:szCs w:val="24"/>
                <w:lang w:val="en-US" w:eastAsia="zh-CN" w:bidi="ar"/>
              </w:rPr>
            </w:pPr>
            <w:r>
              <w:rPr>
                <w:rFonts w:hint="eastAsia" w:ascii="微软雅黑" w:hAnsi="微软雅黑" w:eastAsia="微软雅黑" w:cs="微软雅黑"/>
                <w:spacing w:val="13"/>
                <w:sz w:val="24"/>
                <w:szCs w:val="24"/>
                <w:lang w:val="en-US"/>
              </w:rPr>
              <w:t>三级指标</w:t>
            </w:r>
          </w:p>
        </w:tc>
        <w:tc>
          <w:tcPr>
            <w:tcW w:w="5740" w:type="dxa"/>
            <w:tcBorders>
              <w:top w:val="nil"/>
              <w:left w:val="nil"/>
              <w:bottom w:val="single" w:color="231F20" w:sz="8" w:space="0"/>
              <w:right w:val="single" w:color="231F20" w:sz="8" w:space="0"/>
            </w:tcBorders>
            <w:shd w:val="clear" w:color="auto" w:fill="auto"/>
            <w:tcMar>
              <w:left w:w="57" w:type="dxa"/>
              <w:right w:w="57"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105" w:leftChars="0" w:right="-105" w:rightChars="0"/>
              <w:jc w:val="center"/>
              <w:rPr>
                <w:rFonts w:hint="eastAsia" w:ascii="微软雅黑" w:hAnsi="微软雅黑" w:eastAsia="微软雅黑" w:cs="微软雅黑"/>
                <w:kern w:val="0"/>
                <w:sz w:val="24"/>
                <w:szCs w:val="24"/>
                <w:lang w:val="en-US" w:eastAsia="zh-CN" w:bidi="ar"/>
              </w:rPr>
            </w:pPr>
            <w:r>
              <w:rPr>
                <w:rFonts w:hint="eastAsia" w:ascii="微软雅黑" w:hAnsi="微软雅黑" w:eastAsia="微软雅黑" w:cs="微软雅黑"/>
                <w:spacing w:val="13"/>
                <w:sz w:val="24"/>
                <w:szCs w:val="24"/>
                <w:lang w:val="en-US" w:eastAsia="zh-CN"/>
              </w:rPr>
              <w:t>任务及标准</w:t>
            </w:r>
          </w:p>
        </w:tc>
        <w:tc>
          <w:tcPr>
            <w:tcW w:w="960" w:type="dxa"/>
            <w:tcBorders>
              <w:top w:val="nil"/>
              <w:left w:val="nil"/>
              <w:bottom w:val="single" w:color="231F20" w:sz="8" w:space="0"/>
              <w:right w:val="single" w:color="auto" w:sz="4" w:space="0"/>
            </w:tcBorders>
            <w:shd w:val="clear" w:color="auto" w:fill="auto"/>
            <w:tcMar>
              <w:left w:w="57" w:type="dxa"/>
              <w:right w:w="57"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pacing w:val="13"/>
                <w:sz w:val="24"/>
                <w:szCs w:val="24"/>
                <w:lang w:eastAsia="zh-CN"/>
              </w:rPr>
            </w:pPr>
            <w:r>
              <w:rPr>
                <w:rFonts w:hint="eastAsia" w:ascii="微软雅黑" w:hAnsi="微软雅黑" w:eastAsia="微软雅黑" w:cs="微软雅黑"/>
                <w:spacing w:val="13"/>
                <w:sz w:val="24"/>
                <w:szCs w:val="24"/>
                <w:lang w:eastAsia="zh-CN"/>
              </w:rPr>
              <w:t>牵头</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leftChars="0" w:right="-108" w:rightChars="0"/>
              <w:jc w:val="center"/>
              <w:textAlignment w:val="auto"/>
              <w:rPr>
                <w:rFonts w:hint="eastAsia" w:ascii="微软雅黑" w:hAnsi="微软雅黑" w:eastAsia="微软雅黑" w:cs="微软雅黑"/>
                <w:kern w:val="0"/>
                <w:sz w:val="24"/>
                <w:szCs w:val="24"/>
                <w:lang w:val="en-US" w:eastAsia="zh-CN" w:bidi="ar"/>
              </w:rPr>
            </w:pPr>
            <w:r>
              <w:rPr>
                <w:rFonts w:hint="eastAsia" w:ascii="微软雅黑" w:hAnsi="微软雅黑" w:eastAsia="微软雅黑" w:cs="微软雅黑"/>
                <w:spacing w:val="13"/>
                <w:sz w:val="24"/>
                <w:szCs w:val="24"/>
              </w:rPr>
              <w:t>单位</w:t>
            </w:r>
          </w:p>
        </w:tc>
        <w:tc>
          <w:tcPr>
            <w:tcW w:w="1275" w:type="dxa"/>
            <w:tcBorders>
              <w:top w:val="nil"/>
              <w:left w:val="single" w:color="auto" w:sz="4" w:space="0"/>
              <w:bottom w:val="single" w:color="231F20" w:sz="8" w:space="0"/>
              <w:right w:val="single" w:color="231F20" w:sz="8" w:space="0"/>
            </w:tcBorders>
            <w:shd w:val="clear" w:color="auto" w:fill="auto"/>
            <w:tcMar>
              <w:left w:w="57" w:type="dxa"/>
              <w:right w:w="57"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leftChars="0" w:right="-108" w:rightChars="0"/>
              <w:jc w:val="center"/>
              <w:textAlignment w:val="auto"/>
              <w:rPr>
                <w:rFonts w:hint="eastAsia" w:ascii="微软雅黑" w:hAnsi="微软雅黑" w:eastAsia="微软雅黑" w:cs="微软雅黑"/>
                <w:spacing w:val="13"/>
                <w:kern w:val="0"/>
                <w:sz w:val="24"/>
                <w:szCs w:val="24"/>
                <w:lang w:val="en-US" w:eastAsia="zh-CN" w:bidi="ar"/>
              </w:rPr>
            </w:pPr>
            <w:r>
              <w:rPr>
                <w:rFonts w:hint="eastAsia" w:ascii="微软雅黑" w:hAnsi="微软雅黑" w:eastAsia="微软雅黑" w:cs="微软雅黑"/>
                <w:spacing w:val="13"/>
                <w:kern w:val="0"/>
                <w:sz w:val="24"/>
                <w:szCs w:val="24"/>
                <w:lang w:val="en-US" w:eastAsia="zh-CN" w:bidi="ar"/>
              </w:rPr>
              <w:t>责任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leftChars="0" w:right="-108" w:rightChars="0"/>
              <w:jc w:val="center"/>
              <w:textAlignment w:val="auto"/>
              <w:rPr>
                <w:rFonts w:hint="eastAsia" w:ascii="微软雅黑" w:hAnsi="微软雅黑" w:eastAsia="微软雅黑" w:cs="微软雅黑"/>
                <w:spacing w:val="13"/>
                <w:kern w:val="0"/>
                <w:sz w:val="24"/>
                <w:szCs w:val="24"/>
                <w:lang w:val="en-US" w:eastAsia="zh-CN" w:bidi="ar"/>
              </w:rPr>
            </w:pPr>
            <w:r>
              <w:rPr>
                <w:rFonts w:hint="eastAsia" w:ascii="微软雅黑" w:hAnsi="微软雅黑" w:eastAsia="微软雅黑" w:cs="微软雅黑"/>
                <w:spacing w:val="13"/>
                <w:sz w:val="24"/>
                <w:szCs w:val="24"/>
                <w:lang w:eastAsia="zh-CN"/>
              </w:rPr>
              <w:t>单位</w:t>
            </w:r>
          </w:p>
        </w:tc>
        <w:tc>
          <w:tcPr>
            <w:tcW w:w="1268" w:type="dxa"/>
            <w:tcBorders>
              <w:top w:val="nil"/>
              <w:left w:val="nil"/>
              <w:bottom w:val="single" w:color="231F20" w:sz="8" w:space="0"/>
              <w:right w:val="single" w:color="231F20" w:sz="8" w:space="0"/>
            </w:tcBorders>
            <w:shd w:val="clear" w:color="auto" w:fill="auto"/>
            <w:tcMar>
              <w:left w:w="57" w:type="dxa"/>
              <w:right w:w="57"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pacing w:val="13"/>
                <w:sz w:val="24"/>
                <w:szCs w:val="24"/>
              </w:rPr>
            </w:pPr>
            <w:r>
              <w:rPr>
                <w:rFonts w:hint="eastAsia" w:ascii="微软雅黑" w:hAnsi="微软雅黑" w:eastAsia="微软雅黑" w:cs="微软雅黑"/>
                <w:spacing w:val="13"/>
                <w:sz w:val="24"/>
                <w:szCs w:val="24"/>
              </w:rPr>
              <w:t>完成</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leftChars="0" w:right="-108" w:rightChars="0"/>
              <w:jc w:val="center"/>
              <w:textAlignment w:val="auto"/>
              <w:rPr>
                <w:rFonts w:hint="eastAsia" w:ascii="微软雅黑" w:hAnsi="微软雅黑" w:eastAsia="微软雅黑" w:cs="微软雅黑"/>
                <w:kern w:val="0"/>
                <w:sz w:val="24"/>
                <w:szCs w:val="24"/>
                <w:lang w:val="en-US" w:eastAsia="zh-CN" w:bidi="ar"/>
              </w:rPr>
            </w:pPr>
            <w:r>
              <w:rPr>
                <w:rFonts w:hint="eastAsia" w:ascii="微软雅黑" w:hAnsi="微软雅黑" w:eastAsia="微软雅黑" w:cs="微软雅黑"/>
                <w:spacing w:val="13"/>
                <w:sz w:val="24"/>
                <w:szCs w:val="24"/>
              </w:rPr>
              <w:t>时限</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721" w:hRule="atLeast"/>
          <w:tblCellSpacing w:w="0" w:type="dxa"/>
        </w:trPr>
        <w:tc>
          <w:tcPr>
            <w:tcW w:w="1540" w:type="dxa"/>
            <w:vMerge w:val="restart"/>
            <w:tcBorders>
              <w:top w:val="single" w:color="auto" w:sz="4" w:space="0"/>
              <w:left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3.幼儿园保教质量保障情况</w:t>
            </w:r>
          </w:p>
        </w:tc>
        <w:tc>
          <w:tcPr>
            <w:tcW w:w="1283" w:type="dxa"/>
            <w:vMerge w:val="restart"/>
            <w:tcBorders>
              <w:top w:val="single" w:color="auto" w:sz="4" w:space="0"/>
              <w:left w:val="nil"/>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15.教师配足配齐</w:t>
            </w:r>
          </w:p>
        </w:tc>
        <w:tc>
          <w:tcPr>
            <w:tcW w:w="2669" w:type="dxa"/>
            <w:tcBorders>
              <w:top w:val="nil"/>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公办园完成机构及人员编制核定，并定期进行动态调整，没有“有编不补”的情况。</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0" w:rightChars="0"/>
              <w:jc w:val="left"/>
              <w:textAlignment w:val="auto"/>
              <w:rPr>
                <w:rFonts w:hint="eastAsia" w:ascii="微软雅黑" w:hAnsi="微软雅黑" w:eastAsia="微软雅黑" w:cs="微软雅黑"/>
                <w:kern w:val="0"/>
                <w:sz w:val="20"/>
                <w:szCs w:val="20"/>
                <w:lang w:val="en-US" w:eastAsia="zh-CN" w:bidi="ar"/>
              </w:rPr>
            </w:pPr>
          </w:p>
        </w:tc>
        <w:tc>
          <w:tcPr>
            <w:tcW w:w="5740"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1.及时核定公办园机构编制；2.将专任教师、管理人员和卫生保健人员纳入编制管理；3.按照核定编制及时补充在编教师，没有“有编不补”“在编不在岗”情况。</w:t>
            </w:r>
          </w:p>
        </w:tc>
        <w:tc>
          <w:tcPr>
            <w:tcW w:w="960" w:type="dxa"/>
            <w:tcBorders>
              <w:top w:val="nil"/>
              <w:left w:val="nil"/>
              <w:bottom w:val="single" w:color="231F20" w:sz="8"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编  办</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p>
        </w:tc>
        <w:tc>
          <w:tcPr>
            <w:tcW w:w="1275" w:type="dxa"/>
            <w:tcBorders>
              <w:top w:val="nil"/>
              <w:left w:val="single" w:color="auto" w:sz="4" w:space="0"/>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人社局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教育局</w:t>
            </w:r>
          </w:p>
        </w:tc>
        <w:tc>
          <w:tcPr>
            <w:tcW w:w="1268"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2028年2月</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6" w:hRule="atLeast"/>
          <w:tblCellSpacing w:w="0" w:type="dxa"/>
        </w:trPr>
        <w:tc>
          <w:tcPr>
            <w:tcW w:w="1540" w:type="dxa"/>
            <w:vMerge w:val="continue"/>
            <w:tcBorders>
              <w:left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1283" w:type="dxa"/>
            <w:vMerge w:val="continue"/>
            <w:tcBorders>
              <w:left w:val="nil"/>
              <w:bottom w:val="nil"/>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2669" w:type="dxa"/>
            <w:tcBorders>
              <w:top w:val="single" w:color="auto" w:sz="4" w:space="0"/>
              <w:left w:val="nil"/>
              <w:bottom w:val="nil"/>
              <w:right w:val="single" w:color="231F20" w:sz="8" w:space="0"/>
            </w:tcBorders>
            <w:shd w:val="clear" w:color="auto" w:fill="auto"/>
            <w:tcMar>
              <w:left w:w="57" w:type="dxa"/>
              <w:right w:w="57" w:type="dxa"/>
            </w:tcMar>
            <w:vAlign w:val="center"/>
          </w:tcPr>
          <w:p>
            <w:pPr>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县域内幼儿园专任教师总数与在园幼儿总数之比不低于1∶15。</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0" w:rightChars="0"/>
              <w:jc w:val="left"/>
              <w:textAlignment w:val="auto"/>
              <w:rPr>
                <w:rFonts w:hint="eastAsia" w:ascii="微软雅黑" w:hAnsi="微软雅黑" w:eastAsia="微软雅黑" w:cs="微软雅黑"/>
                <w:kern w:val="0"/>
                <w:sz w:val="20"/>
                <w:szCs w:val="20"/>
                <w:lang w:val="en-US" w:eastAsia="zh-CN" w:bidi="ar"/>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0" w:rightChars="0"/>
              <w:jc w:val="left"/>
              <w:textAlignment w:val="auto"/>
              <w:rPr>
                <w:rFonts w:hint="eastAsia" w:ascii="微软雅黑" w:hAnsi="微软雅黑" w:eastAsia="微软雅黑" w:cs="微软雅黑"/>
                <w:kern w:val="0"/>
                <w:sz w:val="20"/>
                <w:szCs w:val="20"/>
                <w:lang w:val="en-US" w:eastAsia="zh-CN" w:bidi="ar"/>
              </w:rPr>
            </w:pPr>
          </w:p>
        </w:tc>
        <w:tc>
          <w:tcPr>
            <w:tcW w:w="5740" w:type="dxa"/>
            <w:tcBorders>
              <w:top w:val="nil"/>
              <w:left w:val="nil"/>
              <w:bottom w:val="nil"/>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幼儿园专任教师总数与在园幼儿总数之比不低于1∶15。</w:t>
            </w:r>
          </w:p>
        </w:tc>
        <w:tc>
          <w:tcPr>
            <w:tcW w:w="960" w:type="dxa"/>
            <w:tcBorders>
              <w:top w:val="nil"/>
              <w:left w:val="nil"/>
              <w:bottom w:val="nil"/>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教育局</w:t>
            </w:r>
          </w:p>
        </w:tc>
        <w:tc>
          <w:tcPr>
            <w:tcW w:w="1275" w:type="dxa"/>
            <w:tcBorders>
              <w:top w:val="nil"/>
              <w:left w:val="single" w:color="auto" w:sz="4" w:space="0"/>
              <w:bottom w:val="nil"/>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p>
        </w:tc>
        <w:tc>
          <w:tcPr>
            <w:tcW w:w="1268" w:type="dxa"/>
            <w:tcBorders>
              <w:top w:val="nil"/>
              <w:left w:val="nil"/>
              <w:bottom w:val="nil"/>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2028年3月</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51" w:hRule="atLeast"/>
          <w:tblCellSpacing w:w="0" w:type="dxa"/>
        </w:trPr>
        <w:tc>
          <w:tcPr>
            <w:tcW w:w="1540" w:type="dxa"/>
            <w:vMerge w:val="continue"/>
            <w:tcBorders>
              <w:left w:val="single" w:color="231F20" w:sz="8" w:space="0"/>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1283" w:type="dxa"/>
            <w:tcBorders>
              <w:top w:val="single" w:color="auto" w:sz="4" w:space="0"/>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教师管理制度严格</w:t>
            </w:r>
            <w:bookmarkStart w:id="0" w:name="_GoBack"/>
            <w:bookmarkEnd w:id="0"/>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0" w:rightChars="0"/>
              <w:jc w:val="left"/>
              <w:textAlignment w:val="auto"/>
              <w:rPr>
                <w:rFonts w:hint="eastAsia" w:ascii="微软雅黑" w:hAnsi="微软雅黑" w:eastAsia="微软雅黑" w:cs="微软雅黑"/>
                <w:kern w:val="0"/>
                <w:sz w:val="20"/>
                <w:szCs w:val="20"/>
                <w:lang w:val="en-US" w:eastAsia="zh-CN" w:bidi="ar"/>
              </w:rPr>
            </w:pPr>
          </w:p>
        </w:tc>
        <w:tc>
          <w:tcPr>
            <w:tcW w:w="2669" w:type="dxa"/>
            <w:tcBorders>
              <w:top w:val="single" w:color="auto" w:sz="8" w:space="0"/>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35.建立健全幼儿园教师资格准入制度和定期注册制度，全面落实幼儿园园长、教师持证上岗制度。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5740" w:type="dxa"/>
            <w:tcBorders>
              <w:top w:val="single" w:color="auto" w:sz="8" w:space="0"/>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1.县域内幼儿园园长需持双证（教师资格证、园长任职资格证）上岗；2.专任教师需持幼儿园教师资格证上岗；3.落实教师资格定期注册制度。</w:t>
            </w:r>
          </w:p>
        </w:tc>
        <w:tc>
          <w:tcPr>
            <w:tcW w:w="960" w:type="dxa"/>
            <w:tcBorders>
              <w:top w:val="single" w:color="auto" w:sz="8" w:space="0"/>
              <w:left w:val="nil"/>
              <w:bottom w:val="single" w:color="auto" w:sz="8"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教育局</w:t>
            </w:r>
          </w:p>
        </w:tc>
        <w:tc>
          <w:tcPr>
            <w:tcW w:w="1275" w:type="dxa"/>
            <w:tcBorders>
              <w:top w:val="single" w:color="auto" w:sz="8" w:space="0"/>
              <w:left w:val="single" w:color="auto" w:sz="4" w:space="0"/>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p>
        </w:tc>
        <w:tc>
          <w:tcPr>
            <w:tcW w:w="1268" w:type="dxa"/>
            <w:tcBorders>
              <w:top w:val="single" w:color="auto" w:sz="8" w:space="0"/>
              <w:left w:val="nil"/>
              <w:bottom w:val="single" w:color="auto"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2026年3月</w:t>
            </w:r>
          </w:p>
        </w:tc>
      </w:tr>
    </w:tbl>
    <w:tbl>
      <w:tblPr>
        <w:tblStyle w:val="7"/>
        <w:tblpPr w:leftFromText="180" w:rightFromText="180" w:vertAnchor="text" w:horzAnchor="page" w:tblpX="1229" w:tblpY="16"/>
        <w:tblOverlap w:val="never"/>
        <w:tblW w:w="14560" w:type="dxa"/>
        <w:tblCellSpacing w:w="0" w:type="dxa"/>
        <w:tblInd w:w="0" w:type="dxa"/>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631"/>
        <w:gridCol w:w="1380"/>
        <w:gridCol w:w="1705"/>
        <w:gridCol w:w="6752"/>
        <w:gridCol w:w="1047"/>
        <w:gridCol w:w="807"/>
        <w:gridCol w:w="1238"/>
      </w:tblGrid>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1" w:hRule="atLeast"/>
          <w:tblCellSpacing w:w="0" w:type="dxa"/>
        </w:trPr>
        <w:tc>
          <w:tcPr>
            <w:tcW w:w="1631" w:type="dxa"/>
            <w:tcBorders>
              <w:top w:val="single" w:color="231F20" w:sz="8" w:space="0"/>
              <w:left w:val="single" w:color="231F20" w:sz="8" w:space="0"/>
              <w:bottom w:val="single" w:color="231F20" w:sz="8" w:space="0"/>
              <w:right w:val="single" w:color="231F20" w:sz="8" w:space="0"/>
            </w:tcBorders>
            <w:shd w:val="clear" w:color="auto" w:fill="auto"/>
            <w:tcMar>
              <w:left w:w="57" w:type="dxa"/>
              <w:right w:w="57"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105" w:right="-105"/>
              <w:jc w:val="center"/>
              <w:rPr>
                <w:rFonts w:hint="eastAsia" w:ascii="微软雅黑" w:hAnsi="微软雅黑" w:eastAsia="微软雅黑" w:cs="微软雅黑"/>
                <w:sz w:val="24"/>
                <w:szCs w:val="24"/>
              </w:rPr>
            </w:pPr>
            <w:r>
              <w:rPr>
                <w:rFonts w:hint="eastAsia" w:ascii="微软雅黑" w:hAnsi="微软雅黑" w:eastAsia="微软雅黑" w:cs="微软雅黑"/>
                <w:spacing w:val="13"/>
                <w:sz w:val="24"/>
                <w:szCs w:val="24"/>
                <w:lang w:val="en-US"/>
              </w:rPr>
              <w:t>一级指标</w:t>
            </w:r>
          </w:p>
        </w:tc>
        <w:tc>
          <w:tcPr>
            <w:tcW w:w="1380" w:type="dxa"/>
            <w:tcBorders>
              <w:top w:val="single" w:color="231F20" w:sz="8" w:space="0"/>
              <w:left w:val="nil"/>
              <w:bottom w:val="single" w:color="231F20" w:sz="8" w:space="0"/>
              <w:right w:val="single" w:color="231F20" w:sz="8" w:space="0"/>
            </w:tcBorders>
            <w:shd w:val="clear" w:color="auto" w:fill="auto"/>
            <w:tcMar>
              <w:left w:w="57" w:type="dxa"/>
              <w:right w:w="57"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105" w:right="-105"/>
              <w:jc w:val="center"/>
              <w:rPr>
                <w:rFonts w:hint="eastAsia" w:ascii="微软雅黑" w:hAnsi="微软雅黑" w:eastAsia="微软雅黑" w:cs="微软雅黑"/>
                <w:sz w:val="24"/>
                <w:szCs w:val="24"/>
              </w:rPr>
            </w:pPr>
            <w:r>
              <w:rPr>
                <w:rFonts w:hint="eastAsia" w:ascii="微软雅黑" w:hAnsi="微软雅黑" w:eastAsia="微软雅黑" w:cs="微软雅黑"/>
                <w:spacing w:val="13"/>
                <w:sz w:val="24"/>
                <w:szCs w:val="24"/>
                <w:lang w:val="en-US"/>
              </w:rPr>
              <w:t>二级指标</w:t>
            </w:r>
          </w:p>
        </w:tc>
        <w:tc>
          <w:tcPr>
            <w:tcW w:w="1705" w:type="dxa"/>
            <w:tcBorders>
              <w:top w:val="single" w:color="231F20" w:sz="8" w:space="0"/>
              <w:left w:val="nil"/>
              <w:bottom w:val="single" w:color="231F20" w:sz="8" w:space="0"/>
              <w:right w:val="single" w:color="231F20" w:sz="8" w:space="0"/>
            </w:tcBorders>
            <w:shd w:val="clear" w:color="auto" w:fill="auto"/>
            <w:tcMar>
              <w:left w:w="57" w:type="dxa"/>
              <w:right w:w="57"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105" w:right="-105"/>
              <w:jc w:val="center"/>
              <w:rPr>
                <w:rFonts w:hint="eastAsia" w:ascii="微软雅黑" w:hAnsi="微软雅黑" w:eastAsia="微软雅黑" w:cs="微软雅黑"/>
                <w:sz w:val="24"/>
                <w:szCs w:val="24"/>
              </w:rPr>
            </w:pPr>
            <w:r>
              <w:rPr>
                <w:rFonts w:hint="eastAsia" w:ascii="微软雅黑" w:hAnsi="微软雅黑" w:eastAsia="微软雅黑" w:cs="微软雅黑"/>
                <w:spacing w:val="13"/>
                <w:sz w:val="24"/>
                <w:szCs w:val="24"/>
                <w:lang w:val="en-US"/>
              </w:rPr>
              <w:t>三级指标</w:t>
            </w:r>
          </w:p>
        </w:tc>
        <w:tc>
          <w:tcPr>
            <w:tcW w:w="6752" w:type="dxa"/>
            <w:tcBorders>
              <w:top w:val="single" w:color="231F20" w:sz="8" w:space="0"/>
              <w:left w:val="nil"/>
              <w:bottom w:val="single" w:color="231F20" w:sz="8" w:space="0"/>
              <w:right w:val="single" w:color="231F20" w:sz="8" w:space="0"/>
            </w:tcBorders>
            <w:shd w:val="clear" w:color="auto" w:fill="auto"/>
            <w:tcMar>
              <w:left w:w="57" w:type="dxa"/>
              <w:right w:w="57"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105" w:right="-105"/>
              <w:jc w:val="center"/>
              <w:rPr>
                <w:rFonts w:hint="eastAsia" w:ascii="微软雅黑" w:hAnsi="微软雅黑" w:eastAsia="微软雅黑" w:cs="微软雅黑"/>
                <w:sz w:val="24"/>
                <w:szCs w:val="24"/>
                <w:lang w:eastAsia="zh-CN"/>
              </w:rPr>
            </w:pPr>
            <w:r>
              <w:rPr>
                <w:rFonts w:hint="eastAsia" w:ascii="微软雅黑" w:hAnsi="微软雅黑" w:eastAsia="微软雅黑" w:cs="微软雅黑"/>
                <w:spacing w:val="13"/>
                <w:sz w:val="24"/>
                <w:szCs w:val="24"/>
                <w:lang w:val="en-US" w:eastAsia="zh-CN"/>
              </w:rPr>
              <w:t>任务及标准</w:t>
            </w:r>
          </w:p>
        </w:tc>
        <w:tc>
          <w:tcPr>
            <w:tcW w:w="1047" w:type="dxa"/>
            <w:tcBorders>
              <w:top w:val="single" w:color="231F20" w:sz="8" w:space="0"/>
              <w:left w:val="nil"/>
              <w:bottom w:val="single" w:color="231F20" w:sz="8" w:space="0"/>
              <w:right w:val="single" w:color="auto" w:sz="4" w:space="0"/>
            </w:tcBorders>
            <w:shd w:val="clear" w:color="auto" w:fill="auto"/>
            <w:tcMar>
              <w:left w:w="57" w:type="dxa"/>
              <w:right w:w="57"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pacing w:val="13"/>
                <w:sz w:val="24"/>
                <w:szCs w:val="24"/>
                <w:lang w:val="en-US" w:eastAsia="zh-CN"/>
              </w:rPr>
            </w:pPr>
            <w:r>
              <w:rPr>
                <w:rFonts w:hint="eastAsia" w:ascii="微软雅黑" w:hAnsi="微软雅黑" w:eastAsia="微软雅黑" w:cs="微软雅黑"/>
                <w:spacing w:val="13"/>
                <w:sz w:val="24"/>
                <w:szCs w:val="24"/>
                <w:lang w:val="en-US" w:eastAsia="zh-CN"/>
              </w:rPr>
              <w:t>牵头</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z w:val="24"/>
                <w:szCs w:val="24"/>
              </w:rPr>
            </w:pPr>
            <w:r>
              <w:rPr>
                <w:rFonts w:hint="eastAsia" w:ascii="微软雅黑" w:hAnsi="微软雅黑" w:eastAsia="微软雅黑" w:cs="微软雅黑"/>
                <w:spacing w:val="13"/>
                <w:sz w:val="24"/>
                <w:szCs w:val="24"/>
                <w:lang w:val="en-US"/>
              </w:rPr>
              <w:t>单位</w:t>
            </w:r>
          </w:p>
        </w:tc>
        <w:tc>
          <w:tcPr>
            <w:tcW w:w="807" w:type="dxa"/>
            <w:tcBorders>
              <w:top w:val="single" w:color="231F20" w:sz="8" w:space="0"/>
              <w:left w:val="single" w:color="auto" w:sz="4" w:space="0"/>
              <w:bottom w:val="single" w:color="231F20" w:sz="8" w:space="0"/>
              <w:right w:val="single" w:color="231F20" w:sz="8" w:space="0"/>
            </w:tcBorders>
            <w:shd w:val="clear" w:color="auto" w:fill="auto"/>
            <w:tcMar>
              <w:left w:w="57" w:type="dxa"/>
              <w:right w:w="57"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pacing w:val="13"/>
                <w:kern w:val="0"/>
                <w:sz w:val="24"/>
                <w:szCs w:val="24"/>
                <w:lang w:val="en-US" w:eastAsia="zh-CN" w:bidi="ar"/>
              </w:rPr>
            </w:pPr>
            <w:r>
              <w:rPr>
                <w:rFonts w:hint="eastAsia" w:ascii="微软雅黑" w:hAnsi="微软雅黑" w:eastAsia="微软雅黑" w:cs="微软雅黑"/>
                <w:spacing w:val="13"/>
                <w:kern w:val="0"/>
                <w:sz w:val="24"/>
                <w:szCs w:val="24"/>
                <w:lang w:val="en-US" w:eastAsia="zh-CN" w:bidi="ar"/>
              </w:rPr>
              <w:t>责任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pacing w:val="13"/>
                <w:sz w:val="24"/>
                <w:szCs w:val="24"/>
                <w:lang w:val="en-US" w:eastAsia="zh-CN"/>
              </w:rPr>
            </w:pPr>
            <w:r>
              <w:rPr>
                <w:rFonts w:hint="eastAsia" w:ascii="微软雅黑" w:hAnsi="微软雅黑" w:eastAsia="微软雅黑" w:cs="微软雅黑"/>
                <w:spacing w:val="13"/>
                <w:sz w:val="24"/>
                <w:szCs w:val="24"/>
                <w:lang w:val="en-US" w:eastAsia="zh-CN"/>
              </w:rPr>
              <w:t>单位</w:t>
            </w:r>
          </w:p>
        </w:tc>
        <w:tc>
          <w:tcPr>
            <w:tcW w:w="1238" w:type="dxa"/>
            <w:tcBorders>
              <w:top w:val="single" w:color="231F20" w:sz="8" w:space="0"/>
              <w:left w:val="nil"/>
              <w:bottom w:val="single" w:color="231F20" w:sz="8" w:space="0"/>
              <w:right w:val="single" w:color="231F20" w:sz="8" w:space="0"/>
            </w:tcBorders>
            <w:shd w:val="clear" w:color="auto" w:fill="auto"/>
            <w:tcMar>
              <w:left w:w="57" w:type="dxa"/>
              <w:right w:w="57"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pacing w:val="13"/>
                <w:sz w:val="24"/>
                <w:szCs w:val="24"/>
                <w:lang w:val="en-US"/>
              </w:rPr>
            </w:pPr>
            <w:r>
              <w:rPr>
                <w:rFonts w:hint="eastAsia" w:ascii="微软雅黑" w:hAnsi="微软雅黑" w:eastAsia="微软雅黑" w:cs="微软雅黑"/>
                <w:spacing w:val="13"/>
                <w:sz w:val="24"/>
                <w:szCs w:val="24"/>
                <w:lang w:val="en-US"/>
              </w:rPr>
              <w:t>完成</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108" w:right="-108"/>
              <w:jc w:val="center"/>
              <w:textAlignment w:val="auto"/>
              <w:rPr>
                <w:rFonts w:hint="eastAsia" w:ascii="微软雅黑" w:hAnsi="微软雅黑" w:eastAsia="微软雅黑" w:cs="微软雅黑"/>
                <w:sz w:val="24"/>
                <w:szCs w:val="24"/>
              </w:rPr>
            </w:pPr>
            <w:r>
              <w:rPr>
                <w:rFonts w:hint="eastAsia" w:ascii="微软雅黑" w:hAnsi="微软雅黑" w:eastAsia="微软雅黑" w:cs="微软雅黑"/>
                <w:spacing w:val="13"/>
                <w:sz w:val="24"/>
                <w:szCs w:val="24"/>
                <w:lang w:val="en-US"/>
              </w:rPr>
              <w:t>时限</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364" w:hRule="atLeast"/>
          <w:tblCellSpacing w:w="0" w:type="dxa"/>
        </w:trPr>
        <w:tc>
          <w:tcPr>
            <w:tcW w:w="1631" w:type="dxa"/>
            <w:vMerge w:val="restart"/>
            <w:tcBorders>
              <w:top w:val="nil"/>
              <w:left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3.幼儿园保教质量保障情况</w:t>
            </w:r>
          </w:p>
        </w:tc>
        <w:tc>
          <w:tcPr>
            <w:tcW w:w="1380" w:type="dxa"/>
            <w:vMerge w:val="restart"/>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16.教师管理制度严格</w:t>
            </w:r>
          </w:p>
        </w:tc>
        <w:tc>
          <w:tcPr>
            <w:tcW w:w="1705"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36.落实幼儿园（含民办）园长、教师定期培训和全员轮训制度。</w:t>
            </w:r>
          </w:p>
        </w:tc>
        <w:tc>
          <w:tcPr>
            <w:tcW w:w="6752"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1.落实五年一周期不少于360学时的教师继续教育制度；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2.制定幼儿园（含民办园）园长、教师等人员培训计划，并落实到位。</w:t>
            </w:r>
          </w:p>
        </w:tc>
        <w:tc>
          <w:tcPr>
            <w:tcW w:w="1047" w:type="dxa"/>
            <w:tcBorders>
              <w:top w:val="nil"/>
              <w:left w:val="nil"/>
              <w:bottom w:val="single" w:color="231F20" w:sz="8"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教育局</w:t>
            </w:r>
          </w:p>
        </w:tc>
        <w:tc>
          <w:tcPr>
            <w:tcW w:w="807" w:type="dxa"/>
            <w:tcBorders>
              <w:top w:val="nil"/>
              <w:left w:val="single" w:color="auto" w:sz="4" w:space="0"/>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p>
        </w:tc>
        <w:tc>
          <w:tcPr>
            <w:tcW w:w="1238"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2026年2月</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364" w:hRule="atLeast"/>
          <w:tblCellSpacing w:w="0" w:type="dxa"/>
        </w:trPr>
        <w:tc>
          <w:tcPr>
            <w:tcW w:w="1631" w:type="dxa"/>
            <w:vMerge w:val="continue"/>
            <w:tcBorders>
              <w:left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p>
        </w:tc>
        <w:tc>
          <w:tcPr>
            <w:tcW w:w="1380" w:type="dxa"/>
            <w:vMerge w:val="continue"/>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1705"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37.加强师德师风建设，幼儿园普遍建立教育、考评、奖励制度。</w:t>
            </w:r>
          </w:p>
        </w:tc>
        <w:tc>
          <w:tcPr>
            <w:tcW w:w="6752"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1.制定加强师德师风建设的文件；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2.制定县、幼儿园教师考核评价办法。</w:t>
            </w:r>
          </w:p>
        </w:tc>
        <w:tc>
          <w:tcPr>
            <w:tcW w:w="1047" w:type="dxa"/>
            <w:tcBorders>
              <w:top w:val="nil"/>
              <w:left w:val="nil"/>
              <w:bottom w:val="single" w:color="231F20" w:sz="8"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教育局</w:t>
            </w:r>
          </w:p>
        </w:tc>
        <w:tc>
          <w:tcPr>
            <w:tcW w:w="807" w:type="dxa"/>
            <w:tcBorders>
              <w:top w:val="nil"/>
              <w:left w:val="single" w:color="auto" w:sz="4" w:space="0"/>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p>
        </w:tc>
        <w:tc>
          <w:tcPr>
            <w:tcW w:w="1238"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2026年3月</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43" w:hRule="atLeast"/>
          <w:tblCellSpacing w:w="0" w:type="dxa"/>
        </w:trPr>
        <w:tc>
          <w:tcPr>
            <w:tcW w:w="1631" w:type="dxa"/>
            <w:vMerge w:val="continue"/>
            <w:tcBorders>
              <w:left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p>
        </w:tc>
        <w:tc>
          <w:tcPr>
            <w:tcW w:w="1380" w:type="dxa"/>
            <w:vMerge w:val="continue"/>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1705"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38.督导评估认定前2年内无严重的师德师风事件。</w:t>
            </w:r>
          </w:p>
        </w:tc>
        <w:tc>
          <w:tcPr>
            <w:tcW w:w="6752"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督导评估认定前2年内未发生因师德失范、触犯法律等受到开除处分的严重师德师风事件。</w:t>
            </w:r>
          </w:p>
        </w:tc>
        <w:tc>
          <w:tcPr>
            <w:tcW w:w="1047" w:type="dxa"/>
            <w:tcBorders>
              <w:top w:val="nil"/>
              <w:left w:val="nil"/>
              <w:bottom w:val="single" w:color="231F20" w:sz="8"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教育局</w:t>
            </w:r>
          </w:p>
        </w:tc>
        <w:tc>
          <w:tcPr>
            <w:tcW w:w="807" w:type="dxa"/>
            <w:tcBorders>
              <w:top w:val="nil"/>
              <w:left w:val="single" w:color="auto" w:sz="4" w:space="0"/>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p>
        </w:tc>
        <w:tc>
          <w:tcPr>
            <w:tcW w:w="1238"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2028年1月</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700" w:hRule="atLeast"/>
          <w:tblCellSpacing w:w="0" w:type="dxa"/>
        </w:trPr>
        <w:tc>
          <w:tcPr>
            <w:tcW w:w="1631" w:type="dxa"/>
            <w:vMerge w:val="continue"/>
            <w:tcBorders>
              <w:left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p>
        </w:tc>
        <w:tc>
          <w:tcPr>
            <w:tcW w:w="1380" w:type="dxa"/>
            <w:vMerge w:val="restart"/>
            <w:tcBorders>
              <w:top w:val="nil"/>
              <w:left w:val="nil"/>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17.落实科学保教要求</w:t>
            </w:r>
          </w:p>
        </w:tc>
        <w:tc>
          <w:tcPr>
            <w:tcW w:w="1705"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39.落实国家科学保教相关政策文件，县域内幼儿园无“小学化”现象。</w:t>
            </w:r>
          </w:p>
        </w:tc>
        <w:tc>
          <w:tcPr>
            <w:tcW w:w="6752"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1.县域内幼儿园落实《幼儿园工作规程》《幼儿园教育指导纲要》《3—6岁儿童学习与发展指南》的规定，以游戏为基本活动，无“小学化”现象；2.贯彻落实国家和省推进幼儿园和小学科学衔接的相关政策，推动幼小双向衔接；3.坚持规范管理，加大治理力度，严禁幼儿园、小学及校外培训机构对幼儿超前教学。</w:t>
            </w:r>
          </w:p>
        </w:tc>
        <w:tc>
          <w:tcPr>
            <w:tcW w:w="1047" w:type="dxa"/>
            <w:tcBorders>
              <w:top w:val="nil"/>
              <w:left w:val="nil"/>
              <w:bottom w:val="single" w:color="231F20" w:sz="8"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教育局</w:t>
            </w:r>
          </w:p>
        </w:tc>
        <w:tc>
          <w:tcPr>
            <w:tcW w:w="807" w:type="dxa"/>
            <w:tcBorders>
              <w:top w:val="nil"/>
              <w:left w:val="single" w:color="auto" w:sz="4" w:space="0"/>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p>
        </w:tc>
        <w:tc>
          <w:tcPr>
            <w:tcW w:w="1238"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2028年3月</w:t>
            </w:r>
          </w:p>
        </w:tc>
      </w:tr>
      <w:tr>
        <w:tblPrEx>
          <w:tblBorders>
            <w:top w:val="single" w:color="333333" w:sz="6" w:space="0"/>
            <w:left w:val="single" w:color="333333" w:sz="6"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364" w:hRule="atLeast"/>
          <w:tblCellSpacing w:w="0" w:type="dxa"/>
        </w:trPr>
        <w:tc>
          <w:tcPr>
            <w:tcW w:w="1631" w:type="dxa"/>
            <w:vMerge w:val="continue"/>
            <w:tcBorders>
              <w:left w:val="single" w:color="231F20" w:sz="8" w:space="0"/>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p>
        </w:tc>
        <w:tc>
          <w:tcPr>
            <w:tcW w:w="1380" w:type="dxa"/>
            <w:vMerge w:val="continue"/>
            <w:tcBorders>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p>
        </w:tc>
        <w:tc>
          <w:tcPr>
            <w:tcW w:w="1705"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40.没有使用任何形式的幼儿教材、教辅资料、向家长推销或变相推销玩教具及图书等现象。</w:t>
            </w:r>
          </w:p>
        </w:tc>
        <w:tc>
          <w:tcPr>
            <w:tcW w:w="6752"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制定治理使用任何形式的幼儿教材、教辅资料、向家长推销或变相推销玩教具及图书等现象的文件。</w:t>
            </w:r>
          </w:p>
        </w:tc>
        <w:tc>
          <w:tcPr>
            <w:tcW w:w="1047" w:type="dxa"/>
            <w:tcBorders>
              <w:top w:val="nil"/>
              <w:left w:val="nil"/>
              <w:bottom w:val="single" w:color="231F20" w:sz="8"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教育局</w:t>
            </w:r>
          </w:p>
        </w:tc>
        <w:tc>
          <w:tcPr>
            <w:tcW w:w="807" w:type="dxa"/>
            <w:tcBorders>
              <w:top w:val="nil"/>
              <w:left w:val="single" w:color="auto" w:sz="4" w:space="0"/>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p>
        </w:tc>
        <w:tc>
          <w:tcPr>
            <w:tcW w:w="1238" w:type="dxa"/>
            <w:tcBorders>
              <w:top w:val="nil"/>
              <w:left w:val="nil"/>
              <w:bottom w:val="single" w:color="231F20" w:sz="8" w:space="0"/>
              <w:right w:val="single" w:color="231F2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eastAsia" w:ascii="微软雅黑" w:hAnsi="微软雅黑" w:eastAsia="微软雅黑" w:cs="微软雅黑"/>
                <w:kern w:val="0"/>
                <w:sz w:val="20"/>
                <w:szCs w:val="20"/>
                <w:lang w:val="en-US" w:eastAsia="zh-CN" w:bidi="ar"/>
              </w:rPr>
            </w:pPr>
            <w:r>
              <w:rPr>
                <w:rFonts w:hint="eastAsia" w:ascii="微软雅黑" w:hAnsi="微软雅黑" w:eastAsia="微软雅黑" w:cs="微软雅黑"/>
                <w:kern w:val="0"/>
                <w:sz w:val="20"/>
                <w:szCs w:val="20"/>
                <w:lang w:val="en-US" w:eastAsia="zh-CN" w:bidi="ar"/>
              </w:rPr>
              <w:t>2028年3月</w:t>
            </w:r>
          </w:p>
        </w:tc>
      </w:tr>
    </w:tbl>
    <w:p>
      <w:pPr>
        <w:rPr>
          <w:sz w:val="28"/>
          <w:szCs w:val="28"/>
        </w:rPr>
      </w:pPr>
    </w:p>
    <w:sectPr>
      <w:footerReference r:id="rId3" w:type="default"/>
      <w:pgSz w:w="16838" w:h="11906" w:orient="landscape"/>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roman"/>
    <w:pitch w:val="default"/>
    <w:sig w:usb0="00000000" w:usb1="00000000"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微软雅黑">
    <w:altName w:val="黑体"/>
    <w:panose1 w:val="020B0502040204020203"/>
    <w:charset w:val="86"/>
    <w:family w:val="auto"/>
    <w:pitch w:val="default"/>
    <w:sig w:usb0="00000000" w:usb1="00000000" w:usb2="00000016" w:usb3="00000000" w:csb0="0004001F"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6E6D6D"/>
    <w:multiLevelType w:val="singleLevel"/>
    <w:tmpl w:val="BD6E6D6D"/>
    <w:lvl w:ilvl="0" w:tentative="0">
      <w:start w:val="34"/>
      <w:numFmt w:val="decimal"/>
      <w:lvlText w:val="%1."/>
      <w:lvlJc w:val="left"/>
      <w:pPr>
        <w:tabs>
          <w:tab w:val="left" w:pos="312"/>
        </w:tabs>
      </w:pPr>
    </w:lvl>
  </w:abstractNum>
  <w:abstractNum w:abstractNumId="1">
    <w:nsid w:val="E42E291F"/>
    <w:multiLevelType w:val="singleLevel"/>
    <w:tmpl w:val="E42E291F"/>
    <w:lvl w:ilvl="0" w:tentative="0">
      <w:start w:val="16"/>
      <w:numFmt w:val="decimal"/>
      <w:lvlText w:val="%1."/>
      <w:lvlJc w:val="left"/>
      <w:pPr>
        <w:tabs>
          <w:tab w:val="left" w:pos="312"/>
        </w:tabs>
      </w:pPr>
    </w:lvl>
  </w:abstractNum>
  <w:abstractNum w:abstractNumId="2">
    <w:nsid w:val="6C31AEB1"/>
    <w:multiLevelType w:val="singleLevel"/>
    <w:tmpl w:val="6C31AEB1"/>
    <w:lvl w:ilvl="0" w:tentative="0">
      <w:start w:val="33"/>
      <w:numFmt w:val="decimal"/>
      <w:lvlText w:val="%1."/>
      <w:lvlJc w:val="left"/>
      <w:pPr>
        <w:tabs>
          <w:tab w:val="left" w:pos="312"/>
        </w:tabs>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1NTUwYTE1YzdmYmE0NzQ4MzJjM2I1NGJhMTQyNjgifQ=="/>
  </w:docVars>
  <w:rsids>
    <w:rsidRoot w:val="00000000"/>
    <w:rsid w:val="00DB7FDF"/>
    <w:rsid w:val="01A4698D"/>
    <w:rsid w:val="01D634A9"/>
    <w:rsid w:val="02647ECA"/>
    <w:rsid w:val="03936CB9"/>
    <w:rsid w:val="039B780B"/>
    <w:rsid w:val="03F434D0"/>
    <w:rsid w:val="05377412"/>
    <w:rsid w:val="05B2719F"/>
    <w:rsid w:val="05DD2639"/>
    <w:rsid w:val="05E61E57"/>
    <w:rsid w:val="06741984"/>
    <w:rsid w:val="06A07511"/>
    <w:rsid w:val="06B92D8C"/>
    <w:rsid w:val="06D870D9"/>
    <w:rsid w:val="07911761"/>
    <w:rsid w:val="07AB0349"/>
    <w:rsid w:val="082404B3"/>
    <w:rsid w:val="082A74C0"/>
    <w:rsid w:val="08320F44"/>
    <w:rsid w:val="08420CAE"/>
    <w:rsid w:val="08C474E1"/>
    <w:rsid w:val="09575375"/>
    <w:rsid w:val="09F36E1A"/>
    <w:rsid w:val="0AC534D0"/>
    <w:rsid w:val="0B2713C7"/>
    <w:rsid w:val="0B6128A8"/>
    <w:rsid w:val="0C3C74AF"/>
    <w:rsid w:val="0C71390F"/>
    <w:rsid w:val="0CE422B2"/>
    <w:rsid w:val="0CE9794A"/>
    <w:rsid w:val="0D8E04F1"/>
    <w:rsid w:val="0DAC149F"/>
    <w:rsid w:val="0DD904BC"/>
    <w:rsid w:val="0E2844A2"/>
    <w:rsid w:val="0E4F7C80"/>
    <w:rsid w:val="0ED8226E"/>
    <w:rsid w:val="0F736B63"/>
    <w:rsid w:val="0F8B65D1"/>
    <w:rsid w:val="11FF447B"/>
    <w:rsid w:val="13C95642"/>
    <w:rsid w:val="15BB3E4D"/>
    <w:rsid w:val="15F01A61"/>
    <w:rsid w:val="15F94BAC"/>
    <w:rsid w:val="168E06C2"/>
    <w:rsid w:val="17EF431F"/>
    <w:rsid w:val="183D3240"/>
    <w:rsid w:val="18DC4807"/>
    <w:rsid w:val="194F322A"/>
    <w:rsid w:val="19524AC9"/>
    <w:rsid w:val="1A2A3350"/>
    <w:rsid w:val="1A2E39E6"/>
    <w:rsid w:val="1ADE4866"/>
    <w:rsid w:val="1B562D46"/>
    <w:rsid w:val="1B9C027D"/>
    <w:rsid w:val="1C0C0F5F"/>
    <w:rsid w:val="1C3A64A5"/>
    <w:rsid w:val="1C5E5533"/>
    <w:rsid w:val="1C6218FA"/>
    <w:rsid w:val="1EAF1B06"/>
    <w:rsid w:val="1EBD5BC0"/>
    <w:rsid w:val="1F65786D"/>
    <w:rsid w:val="200465EC"/>
    <w:rsid w:val="2014371F"/>
    <w:rsid w:val="20194896"/>
    <w:rsid w:val="20955535"/>
    <w:rsid w:val="20BC0730"/>
    <w:rsid w:val="20D1401F"/>
    <w:rsid w:val="21D50045"/>
    <w:rsid w:val="2217240B"/>
    <w:rsid w:val="224C2DA8"/>
    <w:rsid w:val="23202A87"/>
    <w:rsid w:val="23285C68"/>
    <w:rsid w:val="23316E5B"/>
    <w:rsid w:val="233D673F"/>
    <w:rsid w:val="234C0C7F"/>
    <w:rsid w:val="23856B18"/>
    <w:rsid w:val="23C95987"/>
    <w:rsid w:val="23E26A49"/>
    <w:rsid w:val="243C3EF4"/>
    <w:rsid w:val="2463402E"/>
    <w:rsid w:val="24A96FB6"/>
    <w:rsid w:val="24D17434"/>
    <w:rsid w:val="25AD2640"/>
    <w:rsid w:val="25CC1B2E"/>
    <w:rsid w:val="25D9546E"/>
    <w:rsid w:val="269476BF"/>
    <w:rsid w:val="27221F7E"/>
    <w:rsid w:val="27291C14"/>
    <w:rsid w:val="27F60D15"/>
    <w:rsid w:val="281A0EA7"/>
    <w:rsid w:val="2A863D65"/>
    <w:rsid w:val="2B3478AE"/>
    <w:rsid w:val="2B393102"/>
    <w:rsid w:val="2B4D3EA0"/>
    <w:rsid w:val="2C5129BE"/>
    <w:rsid w:val="2C59335D"/>
    <w:rsid w:val="2C974875"/>
    <w:rsid w:val="2CD21EE1"/>
    <w:rsid w:val="2DCB4075"/>
    <w:rsid w:val="2DE808EE"/>
    <w:rsid w:val="30322072"/>
    <w:rsid w:val="30450A8C"/>
    <w:rsid w:val="305111DE"/>
    <w:rsid w:val="31A812D2"/>
    <w:rsid w:val="31AE37B4"/>
    <w:rsid w:val="32FD6CA5"/>
    <w:rsid w:val="33332177"/>
    <w:rsid w:val="340053F5"/>
    <w:rsid w:val="351B7C7A"/>
    <w:rsid w:val="351C000D"/>
    <w:rsid w:val="352C4E8F"/>
    <w:rsid w:val="3556361F"/>
    <w:rsid w:val="355D0D07"/>
    <w:rsid w:val="361D5769"/>
    <w:rsid w:val="3680074B"/>
    <w:rsid w:val="370D73B1"/>
    <w:rsid w:val="37203B76"/>
    <w:rsid w:val="374627E2"/>
    <w:rsid w:val="376E4194"/>
    <w:rsid w:val="378C567A"/>
    <w:rsid w:val="37E33064"/>
    <w:rsid w:val="380B6117"/>
    <w:rsid w:val="3851522F"/>
    <w:rsid w:val="38DD5D05"/>
    <w:rsid w:val="39161217"/>
    <w:rsid w:val="392F3B6A"/>
    <w:rsid w:val="397A4685"/>
    <w:rsid w:val="399F745E"/>
    <w:rsid w:val="3A8E3775"/>
    <w:rsid w:val="3AAC17D9"/>
    <w:rsid w:val="3B247C1B"/>
    <w:rsid w:val="3B5E6446"/>
    <w:rsid w:val="3BCB0818"/>
    <w:rsid w:val="3CB7686D"/>
    <w:rsid w:val="3CD36344"/>
    <w:rsid w:val="3CDE7BB8"/>
    <w:rsid w:val="3D2A1CFD"/>
    <w:rsid w:val="3D3B131B"/>
    <w:rsid w:val="3DDE1C46"/>
    <w:rsid w:val="3E845DE6"/>
    <w:rsid w:val="3ED6747E"/>
    <w:rsid w:val="3F325181"/>
    <w:rsid w:val="3F6C1B91"/>
    <w:rsid w:val="3F952DC8"/>
    <w:rsid w:val="3FE91433"/>
    <w:rsid w:val="3FF213FE"/>
    <w:rsid w:val="3FFD4ABF"/>
    <w:rsid w:val="40322DDA"/>
    <w:rsid w:val="40324B88"/>
    <w:rsid w:val="40354D62"/>
    <w:rsid w:val="40951D0B"/>
    <w:rsid w:val="40A610D2"/>
    <w:rsid w:val="40B27740"/>
    <w:rsid w:val="41014FEA"/>
    <w:rsid w:val="41194293"/>
    <w:rsid w:val="41436921"/>
    <w:rsid w:val="41807B75"/>
    <w:rsid w:val="41CE3850"/>
    <w:rsid w:val="41EB7C13"/>
    <w:rsid w:val="42BA7912"/>
    <w:rsid w:val="42D812EB"/>
    <w:rsid w:val="42DE4B54"/>
    <w:rsid w:val="43016A94"/>
    <w:rsid w:val="43251343"/>
    <w:rsid w:val="43641E43"/>
    <w:rsid w:val="43F44339"/>
    <w:rsid w:val="441D5B50"/>
    <w:rsid w:val="44224F14"/>
    <w:rsid w:val="44BB3A03"/>
    <w:rsid w:val="45072304"/>
    <w:rsid w:val="45435142"/>
    <w:rsid w:val="456357E4"/>
    <w:rsid w:val="45991E20"/>
    <w:rsid w:val="45E87A97"/>
    <w:rsid w:val="45F3209F"/>
    <w:rsid w:val="45FE550D"/>
    <w:rsid w:val="462B6F7C"/>
    <w:rsid w:val="464C6278"/>
    <w:rsid w:val="46537607"/>
    <w:rsid w:val="46A37366"/>
    <w:rsid w:val="46AC4F69"/>
    <w:rsid w:val="46EB4172"/>
    <w:rsid w:val="470749CE"/>
    <w:rsid w:val="474E7DCE"/>
    <w:rsid w:val="47523ABF"/>
    <w:rsid w:val="47F97714"/>
    <w:rsid w:val="487F2935"/>
    <w:rsid w:val="48EB7FCA"/>
    <w:rsid w:val="48FB323C"/>
    <w:rsid w:val="4A325AB6"/>
    <w:rsid w:val="4B3E2804"/>
    <w:rsid w:val="4B6B71A0"/>
    <w:rsid w:val="4C242078"/>
    <w:rsid w:val="4C5144E7"/>
    <w:rsid w:val="4D1473C4"/>
    <w:rsid w:val="4D8D7AD3"/>
    <w:rsid w:val="4DA42A1E"/>
    <w:rsid w:val="4DD751CC"/>
    <w:rsid w:val="4DE4323A"/>
    <w:rsid w:val="4DF4424F"/>
    <w:rsid w:val="4DF73D65"/>
    <w:rsid w:val="4EC26469"/>
    <w:rsid w:val="4F29184C"/>
    <w:rsid w:val="4F8D21ED"/>
    <w:rsid w:val="4FA62E9D"/>
    <w:rsid w:val="4FB5535D"/>
    <w:rsid w:val="501E2357"/>
    <w:rsid w:val="50C07F8E"/>
    <w:rsid w:val="50C555A5"/>
    <w:rsid w:val="50F25C6E"/>
    <w:rsid w:val="51383FC9"/>
    <w:rsid w:val="51AE428B"/>
    <w:rsid w:val="52BA27BB"/>
    <w:rsid w:val="52EB5425"/>
    <w:rsid w:val="52FC4B82"/>
    <w:rsid w:val="53570785"/>
    <w:rsid w:val="53AC050C"/>
    <w:rsid w:val="53B611D5"/>
    <w:rsid w:val="544607AB"/>
    <w:rsid w:val="544667B3"/>
    <w:rsid w:val="547E7F44"/>
    <w:rsid w:val="560E52F8"/>
    <w:rsid w:val="5672401D"/>
    <w:rsid w:val="569A430A"/>
    <w:rsid w:val="57BB1253"/>
    <w:rsid w:val="57D165DD"/>
    <w:rsid w:val="57E5652D"/>
    <w:rsid w:val="58A64ED5"/>
    <w:rsid w:val="58F419FA"/>
    <w:rsid w:val="5968255E"/>
    <w:rsid w:val="5975743C"/>
    <w:rsid w:val="59B84AF1"/>
    <w:rsid w:val="59C52172"/>
    <w:rsid w:val="59E92304"/>
    <w:rsid w:val="5AB17627"/>
    <w:rsid w:val="5B226321"/>
    <w:rsid w:val="5B4377F2"/>
    <w:rsid w:val="5B9E782E"/>
    <w:rsid w:val="5BDC19F5"/>
    <w:rsid w:val="5BF136F2"/>
    <w:rsid w:val="5CF8639E"/>
    <w:rsid w:val="5D902BE3"/>
    <w:rsid w:val="5DB524FD"/>
    <w:rsid w:val="5E850121"/>
    <w:rsid w:val="5E8917BD"/>
    <w:rsid w:val="5EE578CE"/>
    <w:rsid w:val="5F053010"/>
    <w:rsid w:val="5F2660BA"/>
    <w:rsid w:val="5F933EAD"/>
    <w:rsid w:val="5FF941C5"/>
    <w:rsid w:val="5FFF21E5"/>
    <w:rsid w:val="60AD705D"/>
    <w:rsid w:val="60BA67A8"/>
    <w:rsid w:val="610C68D8"/>
    <w:rsid w:val="61A46B11"/>
    <w:rsid w:val="62362FA1"/>
    <w:rsid w:val="62DF24F6"/>
    <w:rsid w:val="634E73E1"/>
    <w:rsid w:val="64362577"/>
    <w:rsid w:val="64F8584C"/>
    <w:rsid w:val="6534525A"/>
    <w:rsid w:val="65B37C6A"/>
    <w:rsid w:val="65ED4FD2"/>
    <w:rsid w:val="66067D9A"/>
    <w:rsid w:val="668F4233"/>
    <w:rsid w:val="66AC79F5"/>
    <w:rsid w:val="672A3FD7"/>
    <w:rsid w:val="673D0F17"/>
    <w:rsid w:val="675A4D06"/>
    <w:rsid w:val="67F43DA7"/>
    <w:rsid w:val="680B4E69"/>
    <w:rsid w:val="68297D70"/>
    <w:rsid w:val="689C4889"/>
    <w:rsid w:val="68BE495C"/>
    <w:rsid w:val="68F14D31"/>
    <w:rsid w:val="68FC5484"/>
    <w:rsid w:val="690F3409"/>
    <w:rsid w:val="695B1B20"/>
    <w:rsid w:val="69D72179"/>
    <w:rsid w:val="69F00E56"/>
    <w:rsid w:val="69F85C4B"/>
    <w:rsid w:val="6A303637"/>
    <w:rsid w:val="6B05722D"/>
    <w:rsid w:val="6B6F092D"/>
    <w:rsid w:val="6B915026"/>
    <w:rsid w:val="6BAA570D"/>
    <w:rsid w:val="6BCF1CE1"/>
    <w:rsid w:val="6BDC6001"/>
    <w:rsid w:val="6C586B89"/>
    <w:rsid w:val="6CF44DF0"/>
    <w:rsid w:val="6D485867"/>
    <w:rsid w:val="6DE54DB4"/>
    <w:rsid w:val="6E270336"/>
    <w:rsid w:val="6F235519"/>
    <w:rsid w:val="7080699B"/>
    <w:rsid w:val="70B12FF8"/>
    <w:rsid w:val="70D249AE"/>
    <w:rsid w:val="715A71EC"/>
    <w:rsid w:val="71A04C87"/>
    <w:rsid w:val="71E116BB"/>
    <w:rsid w:val="72220DAF"/>
    <w:rsid w:val="72914E8F"/>
    <w:rsid w:val="72CB03A1"/>
    <w:rsid w:val="72D059B7"/>
    <w:rsid w:val="73B9469D"/>
    <w:rsid w:val="746D7236"/>
    <w:rsid w:val="74A73931"/>
    <w:rsid w:val="757C665E"/>
    <w:rsid w:val="75807D03"/>
    <w:rsid w:val="75871D25"/>
    <w:rsid w:val="762878B8"/>
    <w:rsid w:val="76597570"/>
    <w:rsid w:val="7685026E"/>
    <w:rsid w:val="77974BA9"/>
    <w:rsid w:val="783E2166"/>
    <w:rsid w:val="78AE000A"/>
    <w:rsid w:val="78B548E0"/>
    <w:rsid w:val="790265C4"/>
    <w:rsid w:val="792144B0"/>
    <w:rsid w:val="792C1933"/>
    <w:rsid w:val="794A5D98"/>
    <w:rsid w:val="796432FD"/>
    <w:rsid w:val="798B4EAB"/>
    <w:rsid w:val="7A04063C"/>
    <w:rsid w:val="7A7E219D"/>
    <w:rsid w:val="7A833316"/>
    <w:rsid w:val="7A8C2B0C"/>
    <w:rsid w:val="7B0568FD"/>
    <w:rsid w:val="7B9B0B2D"/>
    <w:rsid w:val="7BA21E8B"/>
    <w:rsid w:val="7C4F1257"/>
    <w:rsid w:val="7C8963D7"/>
    <w:rsid w:val="7CAD6D69"/>
    <w:rsid w:val="7CD662C0"/>
    <w:rsid w:val="7CF404F4"/>
    <w:rsid w:val="7D050DD5"/>
    <w:rsid w:val="7D2A03BA"/>
    <w:rsid w:val="7D5E1E12"/>
    <w:rsid w:val="7DC46119"/>
    <w:rsid w:val="7E0902AE"/>
    <w:rsid w:val="7E392893"/>
    <w:rsid w:val="7FD05249"/>
    <w:rsid w:val="9F6F84A6"/>
    <w:rsid w:val="FFF26B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4812</Words>
  <Characters>5140</Characters>
  <Lines>0</Lines>
  <Paragraphs>0</Paragraphs>
  <TotalTime>29</TotalTime>
  <ScaleCrop>false</ScaleCrop>
  <LinksUpToDate>false</LinksUpToDate>
  <CharactersWithSpaces>5170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2023-06-06T00:42:00Z</dcterms:created>
  <dc:creator>Administrator</dc:creator>
  <cp:lastModifiedBy>syxzfb</cp:lastModifiedBy>
  <cp:lastPrinted>2023-10-09T01:42:00Z</cp:lastPrinted>
  <dcterms:modified xsi:type="dcterms:W3CDTF">2023-10-08T15:45:43Z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3A3FCE1D52DB49A58F0AACDFA295D86D_13</vt:lpwstr>
  </property>
</Properties>
</file>